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tabs>
          <w:tab w:val="left" w:pos="567"/>
        </w:tabs>
        <w:autoSpaceDE w:val="0"/>
        <w:autoSpaceDN w:val="0"/>
        <w:jc w:val="center"/>
        <w:textAlignment w:val="bottom"/>
        <w:rPr>
          <w:rFonts w:ascii="宋体" w:hAnsi="宋体"/>
          <w:b/>
          <w:color w:val="000000"/>
          <w:sz w:val="56"/>
          <w:szCs w:val="22"/>
        </w:rPr>
      </w:pPr>
      <w:bookmarkStart w:id="0" w:name="OLE_LINK1"/>
      <w:r>
        <w:rPr>
          <w:rFonts w:hint="eastAsia" w:ascii="宋体" w:hAnsi="宋体"/>
          <w:b/>
          <w:color w:val="000000"/>
          <w:sz w:val="56"/>
          <w:szCs w:val="22"/>
        </w:rPr>
        <w:t>佛山电器照明股份有限公司</w:t>
      </w:r>
    </w:p>
    <w:p>
      <w:pPr>
        <w:widowControl/>
        <w:tabs>
          <w:tab w:val="left" w:pos="567"/>
        </w:tabs>
        <w:autoSpaceDE w:val="0"/>
        <w:autoSpaceDN w:val="0"/>
        <w:jc w:val="center"/>
        <w:textAlignment w:val="bottom"/>
        <w:rPr>
          <w:rFonts w:ascii="宋体" w:hAnsi="宋体"/>
          <w:b/>
          <w:color w:val="000000"/>
          <w:sz w:val="56"/>
          <w:szCs w:val="22"/>
        </w:rPr>
      </w:pPr>
    </w:p>
    <w:p>
      <w:pPr>
        <w:widowControl/>
        <w:tabs>
          <w:tab w:val="left" w:pos="567"/>
        </w:tabs>
        <w:autoSpaceDE w:val="0"/>
        <w:autoSpaceDN w:val="0"/>
        <w:jc w:val="center"/>
        <w:textAlignment w:val="bottom"/>
        <w:rPr>
          <w:rFonts w:ascii="宋体" w:hAnsi="宋体"/>
          <w:b/>
          <w:color w:val="000000"/>
          <w:sz w:val="28"/>
          <w:szCs w:val="28"/>
        </w:rPr>
      </w:pPr>
      <w:r>
        <w:rPr>
          <w:rFonts w:hint="eastAsia" w:ascii="宋体" w:hAnsi="宋体"/>
          <w:b/>
          <w:color w:val="000000"/>
          <w:sz w:val="56"/>
          <w:szCs w:val="22"/>
        </w:rPr>
        <w:t>合规管理体系建设咨询服务</w:t>
      </w:r>
      <w:bookmarkEnd w:id="0"/>
      <w:r>
        <w:rPr>
          <w:rFonts w:hint="eastAsia" w:ascii="宋体" w:hAnsi="宋体"/>
          <w:b/>
          <w:color w:val="000000"/>
          <w:sz w:val="56"/>
          <w:szCs w:val="22"/>
        </w:rPr>
        <w:t>项目</w:t>
      </w:r>
    </w:p>
    <w:p>
      <w:pPr>
        <w:widowControl/>
        <w:tabs>
          <w:tab w:val="left" w:pos="567"/>
        </w:tabs>
        <w:autoSpaceDE w:val="0"/>
        <w:autoSpaceDN w:val="0"/>
        <w:jc w:val="center"/>
        <w:textAlignment w:val="bottom"/>
        <w:rPr>
          <w:rFonts w:ascii="宋体" w:hAnsi="宋体"/>
          <w:b/>
          <w:color w:val="000000"/>
          <w:sz w:val="28"/>
          <w:szCs w:val="28"/>
        </w:rPr>
      </w:pPr>
    </w:p>
    <w:p>
      <w:pPr>
        <w:widowControl/>
        <w:tabs>
          <w:tab w:val="left" w:pos="567"/>
        </w:tabs>
        <w:autoSpaceDE w:val="0"/>
        <w:autoSpaceDN w:val="0"/>
        <w:jc w:val="center"/>
        <w:textAlignment w:val="bottom"/>
        <w:rPr>
          <w:rFonts w:ascii="宋体" w:hAnsi="宋体"/>
          <w:b/>
          <w:color w:val="000000"/>
          <w:sz w:val="28"/>
          <w:szCs w:val="28"/>
        </w:rPr>
      </w:pPr>
    </w:p>
    <w:p>
      <w:pPr>
        <w:widowControl/>
        <w:tabs>
          <w:tab w:val="left" w:pos="567"/>
        </w:tabs>
        <w:autoSpaceDE w:val="0"/>
        <w:autoSpaceDN w:val="0"/>
        <w:jc w:val="center"/>
        <w:textAlignment w:val="bottom"/>
        <w:rPr>
          <w:rFonts w:ascii="宋体" w:hAnsi="宋体"/>
          <w:b/>
          <w:color w:val="000000"/>
          <w:sz w:val="28"/>
          <w:szCs w:val="28"/>
        </w:rPr>
      </w:pPr>
    </w:p>
    <w:p>
      <w:pPr>
        <w:widowControl/>
        <w:tabs>
          <w:tab w:val="left" w:pos="567"/>
        </w:tabs>
        <w:autoSpaceDE w:val="0"/>
        <w:autoSpaceDN w:val="0"/>
        <w:jc w:val="center"/>
        <w:textAlignment w:val="bottom"/>
        <w:rPr>
          <w:rFonts w:ascii="宋体" w:hAnsi="宋体"/>
          <w:b/>
          <w:color w:val="000000"/>
          <w:sz w:val="28"/>
          <w:szCs w:val="28"/>
        </w:rPr>
      </w:pPr>
      <w:r>
        <w:rPr>
          <w:rFonts w:hint="eastAsia" w:ascii="宋体" w:hAnsi="宋体"/>
          <w:b/>
          <w:color w:val="000000"/>
          <w:sz w:val="96"/>
          <w:szCs w:val="28"/>
        </w:rPr>
        <w:t>比选文件</w:t>
      </w: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widowControl/>
        <w:tabs>
          <w:tab w:val="left" w:pos="567"/>
        </w:tabs>
        <w:autoSpaceDE w:val="0"/>
        <w:autoSpaceDN w:val="0"/>
        <w:spacing w:line="460" w:lineRule="exact"/>
        <w:textAlignment w:val="bottom"/>
        <w:rPr>
          <w:rFonts w:ascii="宋体" w:hAnsi="宋体"/>
          <w:b/>
          <w:color w:val="000000"/>
          <w:sz w:val="28"/>
          <w:szCs w:val="28"/>
        </w:rPr>
      </w:pPr>
    </w:p>
    <w:p>
      <w:pPr>
        <w:pStyle w:val="276"/>
        <w:tabs>
          <w:tab w:val="center" w:pos="4876"/>
          <w:tab w:val="right" w:pos="9752"/>
        </w:tabs>
        <w:spacing w:before="0" w:beforeLines="0" w:after="0" w:afterLines="0" w:line="460" w:lineRule="exact"/>
        <w:ind w:left="0" w:firstLine="0" w:firstLineChars="0"/>
        <w:jc w:val="left"/>
        <w:rPr>
          <w:color w:val="000000"/>
          <w:sz w:val="28"/>
          <w:szCs w:val="28"/>
        </w:rPr>
      </w:pPr>
      <w:bookmarkStart w:id="1" w:name="_Toc5422404"/>
      <w:r>
        <w:rPr>
          <w:color w:val="000000"/>
          <w:sz w:val="28"/>
          <w:szCs w:val="28"/>
        </w:rPr>
        <w:tab/>
      </w:r>
      <w:r>
        <w:rPr>
          <w:rFonts w:hint="eastAsia"/>
          <w:color w:val="000000"/>
          <w:sz w:val="28"/>
          <w:szCs w:val="28"/>
        </w:rPr>
        <w:t>佛山电器照明股份有限公司</w:t>
      </w:r>
      <w:r>
        <w:rPr>
          <w:color w:val="000000"/>
          <w:sz w:val="28"/>
          <w:szCs w:val="28"/>
        </w:rPr>
        <w:tab/>
      </w:r>
    </w:p>
    <w:p>
      <w:pPr>
        <w:pStyle w:val="276"/>
        <w:spacing w:before="0" w:beforeLines="0" w:after="0" w:afterLines="0" w:line="460" w:lineRule="exact"/>
        <w:ind w:left="0" w:firstLine="0" w:firstLineChars="0"/>
        <w:rPr>
          <w:color w:val="000000"/>
        </w:rPr>
      </w:pPr>
      <w:r>
        <w:rPr>
          <w:rFonts w:hint="eastAsia"/>
          <w:color w:val="000000"/>
          <w:sz w:val="28"/>
          <w:szCs w:val="28"/>
        </w:rPr>
        <w:t>2021年 6月</w:t>
      </w:r>
      <w:bookmarkEnd w:id="1"/>
    </w:p>
    <w:p>
      <w:pPr>
        <w:spacing w:line="360" w:lineRule="auto"/>
        <w:jc w:val="center"/>
        <w:rPr>
          <w:rFonts w:ascii="华文新魏" w:hAnsi="宋体" w:eastAsia="华文新魏"/>
          <w:b/>
          <w:sz w:val="36"/>
          <w:szCs w:val="36"/>
        </w:rPr>
      </w:pPr>
    </w:p>
    <w:p>
      <w:pPr>
        <w:spacing w:line="360" w:lineRule="auto"/>
        <w:jc w:val="left"/>
        <w:rPr>
          <w:rFonts w:ascii="华文新魏" w:hAnsi="宋体" w:eastAsia="华文新魏"/>
          <w:b/>
          <w:sz w:val="36"/>
          <w:szCs w:val="36"/>
        </w:rPr>
      </w:pPr>
    </w:p>
    <w:p>
      <w:pPr>
        <w:spacing w:line="360" w:lineRule="auto"/>
        <w:jc w:val="left"/>
        <w:rPr>
          <w:rFonts w:ascii="华文新魏" w:hAnsi="宋体" w:eastAsia="华文新魏"/>
          <w:b/>
          <w:sz w:val="36"/>
          <w:szCs w:val="36"/>
        </w:rPr>
        <w:sectPr>
          <w:headerReference r:id="rId3" w:type="default"/>
          <w:footerReference r:id="rId5" w:type="default"/>
          <w:headerReference r:id="rId4" w:type="even"/>
          <w:footerReference r:id="rId6" w:type="even"/>
          <w:pgSz w:w="11906" w:h="16838"/>
          <w:pgMar w:top="1440" w:right="1077" w:bottom="1440" w:left="1077" w:header="737" w:footer="737" w:gutter="0"/>
          <w:pgNumType w:start="0"/>
          <w:cols w:space="720" w:num="1"/>
          <w:titlePg/>
          <w:docGrid w:linePitch="312" w:charSpace="0"/>
        </w:sectPr>
      </w:pPr>
    </w:p>
    <w:p>
      <w:pPr>
        <w:spacing w:line="460" w:lineRule="exact"/>
        <w:jc w:val="center"/>
        <w:rPr>
          <w:rFonts w:ascii="宋体" w:hAnsi="宋体"/>
          <w:b/>
          <w:color w:val="000000"/>
          <w:sz w:val="28"/>
          <w:szCs w:val="28"/>
        </w:rPr>
      </w:pPr>
      <w:r>
        <w:rPr>
          <w:rFonts w:hint="eastAsia" w:ascii="宋体" w:hAnsi="宋体"/>
          <w:b/>
          <w:color w:val="000000"/>
          <w:sz w:val="28"/>
          <w:szCs w:val="28"/>
        </w:rPr>
        <w:t>目 录</w:t>
      </w:r>
    </w:p>
    <w:p>
      <w:pPr>
        <w:spacing w:line="460" w:lineRule="exact"/>
        <w:jc w:val="center"/>
        <w:rPr>
          <w:rFonts w:ascii="宋体" w:hAnsi="宋体"/>
          <w:b/>
          <w:color w:val="000000"/>
          <w:sz w:val="28"/>
          <w:szCs w:val="28"/>
        </w:rPr>
      </w:pPr>
    </w:p>
    <w:p>
      <w:pPr>
        <w:spacing w:line="460" w:lineRule="exact"/>
        <w:rPr>
          <w:rFonts w:ascii="宋体" w:hAnsi="宋体"/>
          <w:b/>
          <w:color w:val="000000"/>
          <w:sz w:val="28"/>
          <w:szCs w:val="28"/>
        </w:rPr>
      </w:pPr>
      <w:r>
        <w:rPr>
          <w:rFonts w:hint="eastAsia" w:ascii="宋体" w:hAnsi="宋体"/>
          <w:b/>
          <w:color w:val="000000"/>
          <w:sz w:val="28"/>
          <w:szCs w:val="28"/>
        </w:rPr>
        <w:t>第一部分       比选邀请函</w:t>
      </w:r>
    </w:p>
    <w:p>
      <w:pPr>
        <w:spacing w:line="460" w:lineRule="exact"/>
        <w:rPr>
          <w:rFonts w:ascii="宋体" w:hAnsi="宋体"/>
          <w:b/>
          <w:color w:val="000000"/>
          <w:sz w:val="28"/>
          <w:szCs w:val="28"/>
        </w:rPr>
      </w:pPr>
    </w:p>
    <w:p>
      <w:pPr>
        <w:spacing w:line="460" w:lineRule="exact"/>
        <w:rPr>
          <w:rFonts w:ascii="宋体" w:hAnsi="宋体"/>
          <w:b/>
          <w:color w:val="000000"/>
          <w:sz w:val="28"/>
          <w:szCs w:val="28"/>
        </w:rPr>
      </w:pPr>
      <w:r>
        <w:rPr>
          <w:rFonts w:hint="eastAsia" w:ascii="宋体" w:hAnsi="宋体"/>
          <w:b/>
          <w:color w:val="000000"/>
          <w:sz w:val="28"/>
          <w:szCs w:val="28"/>
        </w:rPr>
        <w:t>第二部分       响应供应商须</w:t>
      </w:r>
      <w:bookmarkStart w:id="2" w:name="_Hlt456527076"/>
      <w:r>
        <w:rPr>
          <w:rFonts w:hint="eastAsia" w:ascii="宋体" w:hAnsi="宋体"/>
          <w:b/>
          <w:color w:val="000000"/>
          <w:sz w:val="28"/>
          <w:szCs w:val="28"/>
        </w:rPr>
        <w:t>知</w:t>
      </w:r>
      <w:bookmarkEnd w:id="2"/>
      <w:bookmarkStart w:id="3" w:name="_Hlt456527095"/>
      <w:bookmarkEnd w:id="3"/>
    </w:p>
    <w:p>
      <w:pPr>
        <w:spacing w:line="460" w:lineRule="exact"/>
        <w:rPr>
          <w:rFonts w:ascii="宋体" w:hAnsi="宋体"/>
          <w:b/>
          <w:color w:val="000000"/>
          <w:sz w:val="28"/>
          <w:szCs w:val="28"/>
        </w:rPr>
      </w:pPr>
    </w:p>
    <w:p>
      <w:pPr>
        <w:spacing w:line="460" w:lineRule="exact"/>
        <w:rPr>
          <w:rFonts w:ascii="宋体" w:hAnsi="宋体"/>
          <w:b/>
          <w:color w:val="000000"/>
          <w:sz w:val="28"/>
          <w:szCs w:val="28"/>
        </w:rPr>
      </w:pPr>
      <w:r>
        <w:rPr>
          <w:rFonts w:hint="eastAsia" w:ascii="宋体" w:hAnsi="宋体"/>
          <w:b/>
          <w:color w:val="000000"/>
          <w:sz w:val="28"/>
          <w:szCs w:val="28"/>
        </w:rPr>
        <w:t>第三部分       采购人需求</w:t>
      </w:r>
    </w:p>
    <w:p>
      <w:pPr>
        <w:spacing w:line="460" w:lineRule="exact"/>
        <w:rPr>
          <w:rFonts w:ascii="宋体" w:hAnsi="宋体"/>
          <w:b/>
          <w:color w:val="000000"/>
          <w:sz w:val="28"/>
          <w:szCs w:val="28"/>
        </w:rPr>
      </w:pPr>
    </w:p>
    <w:p>
      <w:pPr>
        <w:spacing w:line="460" w:lineRule="exact"/>
        <w:rPr>
          <w:rFonts w:ascii="宋体" w:hAnsi="宋体"/>
          <w:b/>
          <w:color w:val="000000"/>
          <w:sz w:val="28"/>
          <w:szCs w:val="28"/>
        </w:rPr>
      </w:pPr>
      <w:r>
        <w:rPr>
          <w:rFonts w:hint="eastAsia" w:ascii="宋体" w:hAnsi="宋体"/>
          <w:b/>
          <w:color w:val="000000"/>
          <w:sz w:val="28"/>
          <w:szCs w:val="28"/>
        </w:rPr>
        <w:t>第四部分       评审文件</w:t>
      </w:r>
    </w:p>
    <w:p>
      <w:pPr>
        <w:spacing w:line="460" w:lineRule="exact"/>
        <w:rPr>
          <w:rFonts w:ascii="宋体" w:hAnsi="宋体"/>
          <w:b/>
          <w:color w:val="000000"/>
          <w:sz w:val="28"/>
          <w:szCs w:val="28"/>
        </w:rPr>
      </w:pPr>
    </w:p>
    <w:p>
      <w:pPr>
        <w:numPr>
          <w:ilvl w:val="0"/>
          <w:numId w:val="28"/>
        </w:numPr>
        <w:spacing w:line="460" w:lineRule="exact"/>
        <w:rPr>
          <w:rFonts w:ascii="宋体" w:hAnsi="宋体"/>
          <w:b/>
          <w:color w:val="000000"/>
          <w:sz w:val="28"/>
          <w:szCs w:val="28"/>
        </w:rPr>
      </w:pPr>
      <w:r>
        <w:rPr>
          <w:rFonts w:ascii="宋体" w:hAnsi="宋体"/>
          <w:b/>
          <w:color w:val="000000"/>
          <w:sz w:val="28"/>
          <w:szCs w:val="28"/>
        </w:rPr>
        <w:t xml:space="preserve">      </w:t>
      </w:r>
      <w:r>
        <w:rPr>
          <w:rFonts w:hint="eastAsia" w:ascii="宋体" w:hAnsi="宋体"/>
          <w:b/>
          <w:color w:val="000000"/>
          <w:sz w:val="28"/>
          <w:szCs w:val="28"/>
        </w:rPr>
        <w:t>合同样稿</w:t>
      </w:r>
    </w:p>
    <w:p>
      <w:pPr>
        <w:spacing w:line="460" w:lineRule="exact"/>
        <w:rPr>
          <w:rFonts w:ascii="宋体" w:hAnsi="宋体"/>
          <w:b/>
          <w:color w:val="000000"/>
          <w:sz w:val="28"/>
          <w:szCs w:val="28"/>
        </w:rPr>
      </w:pPr>
    </w:p>
    <w:p>
      <w:pPr>
        <w:numPr>
          <w:ilvl w:val="0"/>
          <w:numId w:val="28"/>
        </w:numPr>
        <w:spacing w:line="460" w:lineRule="exact"/>
        <w:rPr>
          <w:rFonts w:ascii="宋体" w:hAnsi="宋体"/>
          <w:b/>
          <w:color w:val="000000"/>
          <w:sz w:val="28"/>
          <w:szCs w:val="28"/>
        </w:rPr>
      </w:pPr>
      <w:r>
        <w:rPr>
          <w:rFonts w:hint="eastAsia" w:ascii="宋体" w:hAnsi="宋体"/>
          <w:b/>
          <w:color w:val="000000"/>
          <w:sz w:val="28"/>
          <w:szCs w:val="28"/>
        </w:rPr>
        <w:t xml:space="preserve">      响应文件格式</w:t>
      </w:r>
    </w:p>
    <w:p>
      <w:pPr>
        <w:spacing w:line="460" w:lineRule="exact"/>
        <w:rPr>
          <w:rFonts w:ascii="宋体" w:hAnsi="宋体"/>
          <w:b/>
          <w:color w:val="000000"/>
          <w:sz w:val="28"/>
          <w:szCs w:val="28"/>
        </w:rPr>
      </w:pPr>
    </w:p>
    <w:p>
      <w:pPr>
        <w:spacing w:line="460" w:lineRule="exact"/>
        <w:jc w:val="center"/>
        <w:rPr>
          <w:rFonts w:ascii="宋体" w:hAnsi="宋体"/>
          <w:b/>
          <w:color w:val="000000"/>
          <w:sz w:val="28"/>
          <w:szCs w:val="28"/>
        </w:rPr>
      </w:pPr>
    </w:p>
    <w:p>
      <w:pPr>
        <w:spacing w:line="360" w:lineRule="auto"/>
        <w:rPr>
          <w:rFonts w:ascii="宋体" w:hAnsi="宋体"/>
          <w:sz w:val="48"/>
          <w:szCs w:val="48"/>
        </w:rPr>
      </w:pPr>
    </w:p>
    <w:p>
      <w:pPr>
        <w:spacing w:line="460" w:lineRule="exact"/>
        <w:jc w:val="center"/>
        <w:rPr>
          <w:rFonts w:ascii="宋体" w:hAnsi="宋体"/>
          <w:b/>
          <w:bCs/>
          <w:sz w:val="40"/>
          <w:szCs w:val="22"/>
        </w:rPr>
      </w:pPr>
      <w:r>
        <w:rPr>
          <w:rFonts w:ascii="宋体" w:hAnsi="宋体"/>
        </w:rPr>
        <w:br w:type="page"/>
      </w:r>
      <w:r>
        <w:rPr>
          <w:rFonts w:hint="eastAsia" w:ascii="宋体" w:hAnsi="宋体"/>
          <w:b/>
          <w:bCs/>
          <w:sz w:val="40"/>
          <w:szCs w:val="22"/>
        </w:rPr>
        <w:t>第一部分 比选邀请函</w:t>
      </w:r>
    </w:p>
    <w:p>
      <w:pPr>
        <w:spacing w:line="500" w:lineRule="exact"/>
        <w:ind w:right="25" w:rightChars="12" w:firstLine="480" w:firstLineChars="200"/>
        <w:rPr>
          <w:rFonts w:ascii="宋体" w:hAnsi="宋体"/>
          <w:sz w:val="24"/>
        </w:rPr>
      </w:pPr>
    </w:p>
    <w:p>
      <w:pPr>
        <w:spacing w:line="500" w:lineRule="exact"/>
        <w:ind w:right="25" w:rightChars="12" w:firstLine="480" w:firstLineChars="200"/>
        <w:rPr>
          <w:rFonts w:ascii="宋体" w:hAnsi="宋体"/>
          <w:sz w:val="24"/>
        </w:rPr>
      </w:pPr>
      <w:r>
        <w:rPr>
          <w:rFonts w:hint="eastAsia" w:ascii="宋体" w:hAnsi="宋体"/>
          <w:sz w:val="24"/>
        </w:rPr>
        <w:t>为落实党中央全面依法治国战略和推进依法治企工作，加强合规管理能力，明确合规管理体系构建路径，推动合规、内控、风控一体化管理，按照《合规管理体系指南》、《中央企业合规管理指引（试行）》、《广东省省属企业合规管理指引（试行）》等要求，佛山电器照明股份有限公司（以下简称“公司”）将根据广晟集团的试点方案要求，有计划、分阶段、有重点地推进合规管理体系建设，实现合规管理、风险管理、内控管理与业务经营一体化深度融合。提升公司整体合规管控水平，从而改善运营效率和效益。</w:t>
      </w:r>
    </w:p>
    <w:p>
      <w:pPr>
        <w:spacing w:line="500" w:lineRule="exact"/>
        <w:ind w:right="25" w:rightChars="12" w:firstLine="480" w:firstLineChars="200"/>
        <w:rPr>
          <w:rFonts w:ascii="宋体" w:hAnsi="宋体"/>
          <w:sz w:val="24"/>
        </w:rPr>
      </w:pPr>
      <w:r>
        <w:rPr>
          <w:rFonts w:hint="eastAsia" w:ascii="宋体" w:hAnsi="宋体"/>
          <w:sz w:val="24"/>
        </w:rPr>
        <w:t>为引入外部专业机构，指导、帮助公司开展体系建设，特就咨询服务项目采购开展比选，诚邀具备专业能力、拥有大型国企/上市公司项目经验的单位参加。</w:t>
      </w:r>
    </w:p>
    <w:p>
      <w:pPr>
        <w:spacing w:line="500" w:lineRule="exact"/>
        <w:ind w:right="25" w:rightChars="12" w:firstLine="480" w:firstLineChars="200"/>
        <w:rPr>
          <w:rFonts w:ascii="宋体" w:hAnsi="宋体"/>
          <w:sz w:val="24"/>
        </w:rPr>
      </w:pPr>
      <w:r>
        <w:rPr>
          <w:rFonts w:hint="eastAsia" w:ascii="宋体" w:hAnsi="宋体"/>
          <w:sz w:val="24"/>
        </w:rPr>
        <w:t>一、采购项目名称：</w:t>
      </w:r>
      <w:bookmarkStart w:id="4" w:name="EBd7f31c1efb36400da02757cadd02a8f8"/>
      <w:r>
        <w:rPr>
          <w:rFonts w:hint="eastAsia" w:ascii="宋体" w:hAnsi="宋体"/>
          <w:sz w:val="24"/>
        </w:rPr>
        <w:t>佛山电器照明股份有限公司</w:t>
      </w:r>
      <w:bookmarkEnd w:id="4"/>
      <w:r>
        <w:rPr>
          <w:rFonts w:hint="eastAsia" w:ascii="宋体" w:hAnsi="宋体"/>
          <w:sz w:val="24"/>
        </w:rPr>
        <w:t>合规管理一体化体系建设咨询服务项目。</w:t>
      </w:r>
    </w:p>
    <w:p>
      <w:pPr>
        <w:spacing w:line="500" w:lineRule="exact"/>
        <w:ind w:right="25" w:rightChars="12" w:firstLine="480" w:firstLineChars="200"/>
        <w:rPr>
          <w:rFonts w:ascii="宋体" w:hAnsi="宋体"/>
          <w:sz w:val="24"/>
        </w:rPr>
      </w:pPr>
      <w:bookmarkStart w:id="5" w:name="EB52e5ed007d5c4a7d86859174708c827a"/>
      <w:bookmarkEnd w:id="5"/>
      <w:r>
        <w:rPr>
          <w:rFonts w:hint="eastAsia" w:ascii="宋体" w:hAnsi="宋体"/>
          <w:sz w:val="24"/>
        </w:rPr>
        <w:t>二、项目主要内容：</w:t>
      </w:r>
    </w:p>
    <w:p>
      <w:pPr>
        <w:spacing w:line="500" w:lineRule="exact"/>
        <w:ind w:right="25" w:rightChars="12" w:firstLine="480" w:firstLineChars="200"/>
        <w:rPr>
          <w:rFonts w:ascii="宋体" w:hAnsi="宋体"/>
          <w:sz w:val="24"/>
        </w:rPr>
      </w:pPr>
      <w:r>
        <w:rPr>
          <w:rFonts w:hint="eastAsia" w:ascii="宋体" w:hAnsi="宋体"/>
          <w:sz w:val="24"/>
        </w:rPr>
        <w:t>成交供应商需要按照《合规管理体系指南》、《中央企业合规管理指引（试行）》《中央企业境外经营合规管理指引（试行）》、《广东省省属企业合规管理指引（试行）》文件要求，结合《中央企业全面风险管理指引》、《关于加强中央企业内部控制体系建设与监督工作的实施意见》相关规定及国内外合规、风控、内控先进经验，完成以下工作：</w:t>
      </w:r>
    </w:p>
    <w:p>
      <w:pPr>
        <w:numPr>
          <w:ilvl w:val="0"/>
          <w:numId w:val="29"/>
        </w:numPr>
        <w:spacing w:line="500" w:lineRule="exact"/>
        <w:ind w:right="25" w:rightChars="12" w:firstLine="480" w:firstLineChars="200"/>
        <w:rPr>
          <w:rFonts w:ascii="宋体" w:hAnsi="宋体"/>
          <w:sz w:val="24"/>
        </w:rPr>
      </w:pPr>
      <w:r>
        <w:rPr>
          <w:rFonts w:hint="eastAsia" w:ascii="宋体" w:hAnsi="宋体"/>
          <w:sz w:val="24"/>
        </w:rPr>
        <w:t>分析公司合规管理体系建设现状，开展合规管理评估。</w:t>
      </w:r>
    </w:p>
    <w:p>
      <w:pPr>
        <w:spacing w:line="500" w:lineRule="exact"/>
        <w:ind w:right="25" w:rightChars="12" w:firstLine="480" w:firstLineChars="200"/>
        <w:rPr>
          <w:rFonts w:ascii="宋体" w:hAnsi="宋体"/>
          <w:sz w:val="24"/>
        </w:rPr>
      </w:pPr>
      <w:r>
        <w:rPr>
          <w:rFonts w:hint="eastAsia" w:ascii="宋体" w:hAnsi="宋体"/>
          <w:sz w:val="24"/>
        </w:rPr>
        <w:t>（二）梳理公司合规义务来源，包括公司主业、国资监管、深交所规范有关的外部法律法规及内部制度规定等，形成合规管理的法律法规、制度库。</w:t>
      </w:r>
    </w:p>
    <w:p>
      <w:pPr>
        <w:spacing w:line="500" w:lineRule="exact"/>
        <w:ind w:right="25" w:rightChars="12" w:firstLine="480" w:firstLineChars="200"/>
        <w:rPr>
          <w:rFonts w:ascii="宋体" w:hAnsi="宋体"/>
          <w:sz w:val="24"/>
        </w:rPr>
      </w:pPr>
      <w:r>
        <w:rPr>
          <w:rFonts w:hint="eastAsia" w:ascii="宋体" w:hAnsi="宋体"/>
          <w:sz w:val="24"/>
        </w:rPr>
        <w:t>（三）梳理公司合规管理重点领域、重点环节和重点人员，明确合规管理重点。</w:t>
      </w:r>
    </w:p>
    <w:p>
      <w:pPr>
        <w:spacing w:line="500" w:lineRule="exact"/>
        <w:ind w:right="25" w:rightChars="12" w:firstLine="480" w:firstLineChars="200"/>
        <w:rPr>
          <w:rFonts w:ascii="宋体" w:hAnsi="宋体"/>
          <w:sz w:val="24"/>
        </w:rPr>
      </w:pPr>
      <w:r>
        <w:rPr>
          <w:rFonts w:hint="eastAsia" w:ascii="宋体" w:hAnsi="宋体"/>
          <w:sz w:val="24"/>
        </w:rPr>
        <w:t>（四）建立、完善公司合规管理组织体系、治理架构、流程体系和制度体系，指导公司修订具体业务制度。</w:t>
      </w:r>
    </w:p>
    <w:p>
      <w:pPr>
        <w:spacing w:line="500" w:lineRule="exact"/>
        <w:ind w:right="25" w:rightChars="12" w:firstLine="480" w:firstLineChars="200"/>
        <w:rPr>
          <w:rFonts w:ascii="宋体" w:hAnsi="宋体"/>
          <w:sz w:val="24"/>
        </w:rPr>
      </w:pPr>
      <w:r>
        <w:rPr>
          <w:rFonts w:hint="eastAsia" w:ascii="宋体" w:hAnsi="宋体"/>
          <w:sz w:val="24"/>
        </w:rPr>
        <w:t>（五）梳理形成合规管理风险库，建立合规风险动态更新机制。</w:t>
      </w:r>
    </w:p>
    <w:p>
      <w:pPr>
        <w:spacing w:line="500" w:lineRule="exact"/>
        <w:ind w:right="25" w:rightChars="12" w:firstLine="480" w:firstLineChars="200"/>
        <w:rPr>
          <w:rFonts w:ascii="宋体" w:hAnsi="宋体"/>
          <w:sz w:val="24"/>
        </w:rPr>
      </w:pPr>
      <w:r>
        <w:rPr>
          <w:rFonts w:hint="eastAsia" w:ascii="宋体" w:hAnsi="宋体"/>
          <w:sz w:val="24"/>
        </w:rPr>
        <w:t>（六）开展合规管理培训和文化宣贯。</w:t>
      </w:r>
    </w:p>
    <w:p>
      <w:pPr>
        <w:spacing w:line="500" w:lineRule="exact"/>
        <w:ind w:right="25" w:rightChars="12" w:firstLine="480" w:firstLineChars="200"/>
        <w:rPr>
          <w:rFonts w:ascii="宋体" w:hAnsi="宋体"/>
          <w:sz w:val="24"/>
        </w:rPr>
      </w:pPr>
      <w:r>
        <w:rPr>
          <w:rFonts w:hint="eastAsia" w:ascii="宋体" w:hAnsi="宋体"/>
          <w:sz w:val="24"/>
        </w:rPr>
        <w:t>（七）建立合规审查、报告、风险监控和预警、考核评价、评估、问责等合规管理运行机制和保障机制，形成相应流程和制度。</w:t>
      </w:r>
    </w:p>
    <w:p>
      <w:pPr>
        <w:spacing w:line="500" w:lineRule="exact"/>
        <w:ind w:right="25" w:rightChars="12" w:firstLine="480" w:firstLineChars="200"/>
        <w:rPr>
          <w:rFonts w:ascii="宋体" w:hAnsi="宋体"/>
          <w:sz w:val="24"/>
        </w:rPr>
      </w:pPr>
      <w:r>
        <w:rPr>
          <w:rFonts w:hint="eastAsia" w:ascii="宋体" w:hAnsi="宋体"/>
          <w:sz w:val="24"/>
        </w:rPr>
        <w:t>（八）梳理合规体系与其他现有体系之间的关系，分析比较法务、合规、风控、内控等系统趋同性，提出一体化制度建设方案，整合流程、表单，搭建协同联动的管理体系。</w:t>
      </w:r>
    </w:p>
    <w:p>
      <w:pPr>
        <w:spacing w:line="500" w:lineRule="exact"/>
        <w:ind w:right="25" w:rightChars="12" w:firstLine="480" w:firstLineChars="200"/>
        <w:rPr>
          <w:rFonts w:ascii="宋体" w:hAnsi="宋体"/>
          <w:b/>
          <w:bCs/>
          <w:sz w:val="24"/>
          <w:u w:val="single"/>
        </w:rPr>
      </w:pPr>
      <w:r>
        <w:rPr>
          <w:rFonts w:hint="eastAsia" w:ascii="宋体" w:hAnsi="宋体"/>
          <w:sz w:val="24"/>
        </w:rPr>
        <w:t>（九）成果展示和验收。形成企业合规管理建设报告，圆满完成公司合规管理建设工作。</w:t>
      </w:r>
    </w:p>
    <w:p>
      <w:pPr>
        <w:spacing w:line="500" w:lineRule="exact"/>
        <w:ind w:right="25" w:rightChars="12" w:firstLine="482" w:firstLineChars="200"/>
        <w:rPr>
          <w:rFonts w:ascii="宋体" w:hAnsi="宋体"/>
          <w:b/>
          <w:bCs/>
          <w:sz w:val="24"/>
          <w:u w:val="single"/>
        </w:rPr>
      </w:pPr>
      <w:r>
        <w:rPr>
          <w:rFonts w:hint="eastAsia" w:ascii="宋体" w:hAnsi="宋体"/>
          <w:b/>
          <w:bCs/>
          <w:sz w:val="24"/>
          <w:u w:val="single"/>
        </w:rPr>
        <w:t>备注：本次项目为佛山电器照明股份有限公司体系建设，无需供应商为公司下属子企业提供体系建设咨询服务。</w:t>
      </w:r>
    </w:p>
    <w:p>
      <w:pPr>
        <w:spacing w:line="500" w:lineRule="exact"/>
        <w:ind w:right="25" w:rightChars="12" w:firstLine="480" w:firstLineChars="200"/>
        <w:rPr>
          <w:rFonts w:ascii="宋体" w:hAnsi="宋体"/>
          <w:sz w:val="24"/>
          <w:szCs w:val="22"/>
        </w:rPr>
      </w:pPr>
      <w:r>
        <w:rPr>
          <w:rFonts w:hint="eastAsia" w:ascii="宋体" w:hAnsi="宋体"/>
          <w:sz w:val="24"/>
          <w:szCs w:val="22"/>
        </w:rPr>
        <w:t>三、交付成果清单</w:t>
      </w:r>
    </w:p>
    <w:p>
      <w:pPr>
        <w:spacing w:line="500" w:lineRule="exact"/>
        <w:ind w:right="25" w:rightChars="12" w:firstLine="480" w:firstLineChars="200"/>
        <w:rPr>
          <w:rFonts w:ascii="宋体" w:hAnsi="宋体"/>
          <w:sz w:val="24"/>
          <w:szCs w:val="22"/>
        </w:rPr>
      </w:pPr>
      <w:r>
        <w:rPr>
          <w:rFonts w:hint="eastAsia" w:ascii="宋体" w:hAnsi="宋体"/>
          <w:sz w:val="24"/>
          <w:szCs w:val="22"/>
        </w:rPr>
        <w:t>成交</w:t>
      </w:r>
      <w:r>
        <w:rPr>
          <w:rFonts w:hint="eastAsia" w:ascii="宋体" w:hAnsi="宋体"/>
          <w:sz w:val="24"/>
          <w:szCs w:val="22"/>
          <w:highlight w:val="none"/>
        </w:rPr>
        <w:t>供应商合</w:t>
      </w:r>
      <w:r>
        <w:rPr>
          <w:rFonts w:hint="eastAsia" w:ascii="宋体" w:hAnsi="宋体"/>
          <w:sz w:val="24"/>
          <w:szCs w:val="22"/>
        </w:rPr>
        <w:t>同履行过程中要求交付的成果包括但不限于：</w:t>
      </w:r>
    </w:p>
    <w:tbl>
      <w:tblPr>
        <w:tblStyle w:val="61"/>
        <w:tblW w:w="8911" w:type="dxa"/>
        <w:jc w:val="center"/>
        <w:tblInd w:w="0" w:type="dxa"/>
        <w:tblLayout w:type="fixed"/>
        <w:tblCellMar>
          <w:top w:w="15" w:type="dxa"/>
          <w:left w:w="15" w:type="dxa"/>
          <w:bottom w:w="15" w:type="dxa"/>
          <w:right w:w="15" w:type="dxa"/>
        </w:tblCellMar>
      </w:tblPr>
      <w:tblGrid>
        <w:gridCol w:w="848"/>
        <w:gridCol w:w="1473"/>
        <w:gridCol w:w="6590"/>
      </w:tblGrid>
      <w:tr>
        <w:tblPrEx>
          <w:tblLayout w:type="fixed"/>
          <w:tblCellMar>
            <w:top w:w="15" w:type="dxa"/>
            <w:left w:w="15" w:type="dxa"/>
            <w:bottom w:w="15" w:type="dxa"/>
            <w:right w:w="15" w:type="dxa"/>
          </w:tblCellMar>
        </w:tblPrEx>
        <w:trPr>
          <w:trHeight w:val="283"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序号</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工作成果</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包含的具体内容</w:t>
            </w:r>
          </w:p>
        </w:tc>
      </w:tr>
      <w:tr>
        <w:tblPrEx>
          <w:tblLayout w:type="fixed"/>
          <w:tblCellMar>
            <w:top w:w="15" w:type="dxa"/>
            <w:left w:w="15" w:type="dxa"/>
            <w:bottom w:w="15" w:type="dxa"/>
            <w:right w:w="15" w:type="dxa"/>
          </w:tblCellMar>
        </w:tblPrEx>
        <w:trPr>
          <w:trHeight w:val="283"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1</w:t>
            </w:r>
          </w:p>
        </w:tc>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内部管理合规状况评价</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企业合规管理工作实施情况</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合规管理体系评价报告及管理提升建议</w:t>
            </w:r>
          </w:p>
        </w:tc>
      </w:tr>
      <w:tr>
        <w:tblPrEx>
          <w:tblLayout w:type="fixed"/>
          <w:tblCellMar>
            <w:top w:w="15" w:type="dxa"/>
            <w:left w:w="15" w:type="dxa"/>
            <w:bottom w:w="15" w:type="dxa"/>
            <w:right w:w="15" w:type="dxa"/>
          </w:tblCellMar>
        </w:tblPrEx>
        <w:trPr>
          <w:trHeight w:val="283" w:hRule="atLeast"/>
          <w:jc w:val="center"/>
        </w:trPr>
        <w:tc>
          <w:tcPr>
            <w:tcW w:w="848" w:type="dxa"/>
            <w:vMerge w:val="restart"/>
            <w:tcBorders>
              <w:top w:val="single" w:color="000000" w:sz="4" w:space="0"/>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2</w:t>
            </w:r>
          </w:p>
        </w:tc>
        <w:tc>
          <w:tcPr>
            <w:tcW w:w="1473" w:type="dxa"/>
            <w:vMerge w:val="restart"/>
            <w:tcBorders>
              <w:top w:val="single" w:color="000000" w:sz="4" w:space="0"/>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合规管理制度</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合规管理制度框架</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合规管理组织体系与职责</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合规管理指引（合规管理办法），涵盖重点环节、重点领域、重点人员的合规管理框架</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合规管理运行流程及相关制度</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现有制度完善修订建议书</w:t>
            </w:r>
          </w:p>
        </w:tc>
      </w:tr>
      <w:tr>
        <w:tblPrEx>
          <w:tblLayout w:type="fixed"/>
          <w:tblCellMar>
            <w:top w:w="15" w:type="dxa"/>
            <w:left w:w="15" w:type="dxa"/>
            <w:bottom w:w="15" w:type="dxa"/>
            <w:right w:w="15" w:type="dxa"/>
          </w:tblCellMar>
        </w:tblPrEx>
        <w:trPr>
          <w:trHeight w:val="90" w:hRule="atLeast"/>
          <w:jc w:val="center"/>
        </w:trPr>
        <w:tc>
          <w:tcPr>
            <w:tcW w:w="848" w:type="dxa"/>
            <w:vMerge w:val="restart"/>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3</w:t>
            </w:r>
          </w:p>
        </w:tc>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合规风险运行管控机制</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设计核心合规风险管控流程，搭建企业合规风险数据库，建立合规风险库动态更新机制</w:t>
            </w:r>
          </w:p>
        </w:tc>
      </w:tr>
      <w:tr>
        <w:tblPrEx>
          <w:tblLayout w:type="fixed"/>
          <w:tblCellMar>
            <w:top w:w="15" w:type="dxa"/>
            <w:left w:w="15" w:type="dxa"/>
            <w:bottom w:w="15" w:type="dxa"/>
            <w:right w:w="15" w:type="dxa"/>
          </w:tblCellMar>
        </w:tblPrEx>
        <w:trPr>
          <w:trHeight w:val="90" w:hRule="atLeast"/>
          <w:jc w:val="center"/>
        </w:trPr>
        <w:tc>
          <w:tcPr>
            <w:tcW w:w="84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通过建立合规依据库、合规义务库、合规风险库、合规制度库、合规指引库等方式</w:t>
            </w:r>
            <w:r>
              <w:rPr>
                <w:rFonts w:hint="eastAsia" w:ascii="宋体" w:hAnsi="宋体"/>
                <w:sz w:val="24"/>
                <w:szCs w:val="22"/>
                <w:highlight w:val="none"/>
              </w:rPr>
              <w:t>来建设公司至少3个重点合规领域</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合规管理风险清单及岗位人员合规风险清单，合规风险识别预警机制，出具风险应对方案</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建立合规审查机制</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建立合规联席会议机制</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健全违规问责与容错免责机制、合规管理评估机制</w:t>
            </w:r>
          </w:p>
        </w:tc>
      </w:tr>
      <w:tr>
        <w:tblPrEx>
          <w:tblLayout w:type="fixed"/>
          <w:tblCellMar>
            <w:top w:w="15" w:type="dxa"/>
            <w:left w:w="15" w:type="dxa"/>
            <w:bottom w:w="15" w:type="dxa"/>
            <w:right w:w="15" w:type="dxa"/>
          </w:tblCellMar>
        </w:tblPrEx>
        <w:trPr>
          <w:trHeight w:val="283"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4</w:t>
            </w:r>
          </w:p>
        </w:tc>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合规保障机制</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建立合规考核评价制度</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建立激励约束机制</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合规管理机构和人员设置建议</w:t>
            </w:r>
          </w:p>
        </w:tc>
      </w:tr>
      <w:tr>
        <w:tblPrEx>
          <w:tblLayout w:type="fixed"/>
          <w:tblCellMar>
            <w:top w:w="15" w:type="dxa"/>
            <w:left w:w="15" w:type="dxa"/>
            <w:bottom w:w="15" w:type="dxa"/>
            <w:right w:w="15" w:type="dxa"/>
          </w:tblCellMar>
        </w:tblPrEx>
        <w:trPr>
          <w:trHeight w:val="283"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5</w:t>
            </w:r>
          </w:p>
        </w:tc>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合规培训与文化</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介绍国内外合规管理优秀经验、前沿技术等</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开展集团内部理论分享、外部企业之间的优秀实践分享</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开展合规管理实务操作，传授实战工作经验与方法</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合规管理宣贯，搭建企业合规文化</w:t>
            </w:r>
          </w:p>
        </w:tc>
      </w:tr>
      <w:tr>
        <w:tblPrEx>
          <w:tblLayout w:type="fixed"/>
          <w:tblCellMar>
            <w:top w:w="15" w:type="dxa"/>
            <w:left w:w="15" w:type="dxa"/>
            <w:bottom w:w="15" w:type="dxa"/>
            <w:right w:w="15" w:type="dxa"/>
          </w:tblCellMar>
        </w:tblPrEx>
        <w:trPr>
          <w:trHeight w:val="283"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6</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三位一体管理体系</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梳理合规体系与其他现有体系之间的关系，分析比较合规、风控、内控等系统趋同性，提出一体化制度建设方案，整合流程、表单、手册，搭建协同联动的管理体系</w:t>
            </w:r>
          </w:p>
        </w:tc>
      </w:tr>
      <w:tr>
        <w:tblPrEx>
          <w:tblLayout w:type="fixed"/>
          <w:tblCellMar>
            <w:top w:w="15" w:type="dxa"/>
            <w:left w:w="15" w:type="dxa"/>
            <w:bottom w:w="15" w:type="dxa"/>
            <w:right w:w="15" w:type="dxa"/>
          </w:tblCellMar>
        </w:tblPrEx>
        <w:trPr>
          <w:trHeight w:val="283" w:hRule="atLeast"/>
          <w:jc w:val="center"/>
        </w:trPr>
        <w:tc>
          <w:tcPr>
            <w:tcW w:w="84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7</w:t>
            </w:r>
          </w:p>
        </w:tc>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合规风险管理手册</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梳理甲方业务领域相关法律法规、部门规章、政策性文件等</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搭建企业合规风险框架</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提示业务环节合规风险，编制风险应对方案</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公司合规重点领域的相关关键业务流程图</w:t>
            </w:r>
          </w:p>
        </w:tc>
      </w:tr>
      <w:tr>
        <w:tblPrEx>
          <w:tblLayout w:type="fixed"/>
          <w:tblCellMar>
            <w:top w:w="15" w:type="dxa"/>
            <w:left w:w="15" w:type="dxa"/>
            <w:bottom w:w="15" w:type="dxa"/>
            <w:right w:w="15" w:type="dxa"/>
          </w:tblCellMar>
        </w:tblPrEx>
        <w:trPr>
          <w:trHeight w:val="283" w:hRule="atLeast"/>
          <w:jc w:val="center"/>
        </w:trPr>
        <w:tc>
          <w:tcPr>
            <w:tcW w:w="84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流程缺陷改善管理</w:t>
            </w:r>
          </w:p>
        </w:tc>
      </w:tr>
      <w:tr>
        <w:tblPrEx>
          <w:tblLayout w:type="fixed"/>
          <w:tblCellMar>
            <w:top w:w="15" w:type="dxa"/>
            <w:left w:w="15" w:type="dxa"/>
            <w:bottom w:w="15" w:type="dxa"/>
            <w:right w:w="15" w:type="dxa"/>
          </w:tblCellMar>
        </w:tblPrEx>
        <w:trPr>
          <w:trHeight w:val="283"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8</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项目成果</w:t>
            </w:r>
          </w:p>
        </w:tc>
        <w:tc>
          <w:tcPr>
            <w:tcW w:w="6590"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企业合规管理建设总体报告</w:t>
            </w:r>
          </w:p>
        </w:tc>
      </w:tr>
    </w:tbl>
    <w:p>
      <w:pPr>
        <w:spacing w:line="500" w:lineRule="exact"/>
        <w:ind w:right="25" w:rightChars="12" w:firstLine="480" w:firstLineChars="200"/>
        <w:rPr>
          <w:rFonts w:ascii="宋体" w:hAnsi="宋体"/>
          <w:sz w:val="24"/>
        </w:rPr>
      </w:pPr>
      <w:r>
        <w:rPr>
          <w:rFonts w:hint="eastAsia" w:ascii="宋体" w:hAnsi="宋体"/>
          <w:sz w:val="24"/>
        </w:rPr>
        <w:t>四</w:t>
      </w:r>
      <w:r>
        <w:rPr>
          <w:rFonts w:ascii="宋体" w:hAnsi="宋体"/>
          <w:sz w:val="24"/>
        </w:rPr>
        <w:t>、</w:t>
      </w:r>
      <w:r>
        <w:rPr>
          <w:rFonts w:hint="eastAsia" w:ascii="宋体" w:hAnsi="宋体"/>
          <w:sz w:val="24"/>
        </w:rPr>
        <w:t>采购项目报价</w:t>
      </w:r>
      <w:r>
        <w:rPr>
          <w:rFonts w:ascii="宋体" w:hAnsi="宋体"/>
          <w:sz w:val="24"/>
        </w:rPr>
        <w:t>为总体包干价格，即包括完成本项目工作所需的</w:t>
      </w:r>
      <w:r>
        <w:rPr>
          <w:rFonts w:hint="eastAsia" w:ascii="宋体" w:hAnsi="宋体"/>
          <w:sz w:val="24"/>
        </w:rPr>
        <w:t>人工、</w:t>
      </w:r>
      <w:r>
        <w:rPr>
          <w:rFonts w:ascii="宋体" w:hAnsi="宋体"/>
          <w:sz w:val="24"/>
        </w:rPr>
        <w:t>交通、住宿、</w:t>
      </w:r>
      <w:r>
        <w:rPr>
          <w:rFonts w:hint="eastAsia" w:ascii="宋体" w:hAnsi="宋体"/>
          <w:sz w:val="24"/>
        </w:rPr>
        <w:t>餐饮、资料</w:t>
      </w:r>
      <w:r>
        <w:rPr>
          <w:rFonts w:ascii="宋体" w:hAnsi="宋体"/>
          <w:sz w:val="24"/>
        </w:rPr>
        <w:t>等各项杂费以及税费。</w:t>
      </w:r>
    </w:p>
    <w:p>
      <w:pPr>
        <w:spacing w:line="500" w:lineRule="exact"/>
        <w:ind w:right="25" w:rightChars="12" w:firstLine="480" w:firstLineChars="200"/>
        <w:rPr>
          <w:rFonts w:ascii="宋体" w:hAnsi="宋体" w:cs="Tahoma"/>
          <w:sz w:val="24"/>
        </w:rPr>
      </w:pPr>
      <w:r>
        <w:rPr>
          <w:rFonts w:hint="eastAsia" w:ascii="宋体" w:hAnsi="宋体" w:cs="Tahoma"/>
          <w:sz w:val="24"/>
        </w:rPr>
        <w:t>五、供应商资格：</w:t>
      </w:r>
    </w:p>
    <w:p>
      <w:pPr>
        <w:spacing w:line="500" w:lineRule="exact"/>
        <w:ind w:right="25" w:rightChars="12" w:firstLine="480" w:firstLineChars="200"/>
        <w:rPr>
          <w:rFonts w:ascii="宋体" w:hAnsi="宋体" w:cs="Tahoma"/>
          <w:sz w:val="24"/>
        </w:rPr>
      </w:pPr>
      <w:r>
        <w:rPr>
          <w:rFonts w:hint="eastAsia" w:ascii="宋体" w:hAnsi="宋体" w:cs="Tahoma"/>
          <w:sz w:val="24"/>
        </w:rPr>
        <w:t>响应供应商</w:t>
      </w:r>
      <w:r>
        <w:rPr>
          <w:rFonts w:ascii="宋体" w:hAnsi="宋体" w:cs="Tahoma"/>
          <w:sz w:val="24"/>
        </w:rPr>
        <w:t>必须符合</w:t>
      </w:r>
      <w:r>
        <w:rPr>
          <w:rFonts w:hint="eastAsia" w:ascii="宋体" w:hAnsi="宋体" w:cs="Tahoma"/>
          <w:sz w:val="24"/>
        </w:rPr>
        <w:t>以下条件：</w:t>
      </w:r>
    </w:p>
    <w:p>
      <w:pPr>
        <w:spacing w:line="500" w:lineRule="exact"/>
        <w:ind w:firstLine="480" w:firstLineChars="200"/>
        <w:rPr>
          <w:rFonts w:ascii="宋体" w:hAnsi="宋体" w:cs="Tahoma"/>
          <w:sz w:val="24"/>
        </w:rPr>
      </w:pPr>
      <w:r>
        <w:rPr>
          <w:rFonts w:hint="eastAsia" w:ascii="宋体" w:hAnsi="宋体" w:cs="Tahoma"/>
          <w:sz w:val="24"/>
        </w:rPr>
        <w:t>（一）合法经营，持有营业执照，且在广州市或佛山市设有办事机构。（提供证照复印件加盖公章）</w:t>
      </w:r>
    </w:p>
    <w:p>
      <w:pPr>
        <w:spacing w:line="500" w:lineRule="exact"/>
        <w:ind w:firstLine="480" w:firstLineChars="200"/>
        <w:rPr>
          <w:rFonts w:ascii="宋体" w:hAnsi="宋体" w:cs="Tahoma"/>
          <w:sz w:val="24"/>
        </w:rPr>
      </w:pPr>
      <w:r>
        <w:rPr>
          <w:rFonts w:hint="eastAsia" w:ascii="宋体" w:hAnsi="宋体" w:cs="Tahoma"/>
          <w:sz w:val="24"/>
        </w:rPr>
        <w:t>（二）具有企业合规、风控、内控或法律风险防控体系，建设、咨询、服务等项目的业绩。（提供项目合同复印件节选加盖公章）</w:t>
      </w:r>
    </w:p>
    <w:p>
      <w:pPr>
        <w:widowControl/>
        <w:spacing w:line="500" w:lineRule="exact"/>
        <w:ind w:firstLine="480" w:firstLineChars="200"/>
        <w:jc w:val="left"/>
        <w:rPr>
          <w:rFonts w:ascii="宋体" w:hAnsi="宋体" w:cs="Tahoma"/>
          <w:sz w:val="24"/>
          <w:szCs w:val="22"/>
        </w:rPr>
      </w:pPr>
      <w:r>
        <w:rPr>
          <w:rFonts w:hint="eastAsia" w:ascii="宋体" w:hAnsi="宋体" w:cs="Tahoma"/>
          <w:sz w:val="24"/>
          <w:szCs w:val="22"/>
        </w:rPr>
        <w:t>六、请供应商于2021年6 月</w:t>
      </w:r>
      <w:r>
        <w:rPr>
          <w:rFonts w:hint="eastAsia" w:ascii="宋体" w:hAnsi="宋体" w:cs="Tahoma"/>
          <w:sz w:val="24"/>
          <w:szCs w:val="22"/>
          <w:lang w:val="en-US" w:eastAsia="zh-CN"/>
        </w:rPr>
        <w:t>18</w:t>
      </w:r>
      <w:r>
        <w:rPr>
          <w:rFonts w:hint="eastAsia" w:ascii="宋体" w:hAnsi="宋体" w:cs="Tahoma"/>
          <w:sz w:val="24"/>
          <w:szCs w:val="22"/>
        </w:rPr>
        <w:t>日至2021年 6月</w:t>
      </w:r>
      <w:r>
        <w:rPr>
          <w:rFonts w:hint="eastAsia" w:ascii="宋体" w:hAnsi="宋体" w:cs="Tahoma"/>
          <w:sz w:val="24"/>
          <w:szCs w:val="22"/>
          <w:lang w:val="en-US" w:eastAsia="zh-CN"/>
        </w:rPr>
        <w:t>24</w:t>
      </w:r>
      <w:r>
        <w:rPr>
          <w:rFonts w:hint="eastAsia" w:ascii="宋体" w:hAnsi="宋体" w:cs="Tahoma"/>
          <w:sz w:val="24"/>
          <w:szCs w:val="22"/>
        </w:rPr>
        <w:t>日在佛山电器照明股份有限公司官方网站https://www.chinafsl.com/</w:t>
      </w:r>
      <w:r>
        <w:fldChar w:fldCharType="begin"/>
      </w:r>
      <w:r>
        <w:instrText xml:space="preserve"> HYPERLINK "https://www.gzbus.com/" </w:instrText>
      </w:r>
      <w:r>
        <w:fldChar w:fldCharType="separate"/>
      </w:r>
      <w:r>
        <w:fldChar w:fldCharType="end"/>
      </w:r>
      <w:r>
        <w:rPr>
          <w:rFonts w:hint="eastAsia" w:ascii="宋体" w:hAnsi="宋体" w:cs="Tahoma"/>
          <w:sz w:val="24"/>
          <w:szCs w:val="22"/>
        </w:rPr>
        <w:t xml:space="preserve"> “招投标公告”下载比选文件</w:t>
      </w:r>
      <w:r>
        <w:rPr>
          <w:rFonts w:hint="eastAsia" w:ascii="宋体" w:hAnsi="宋体" w:cs="Tahoma"/>
          <w:sz w:val="24"/>
          <w:szCs w:val="22"/>
          <w:lang w:eastAsia="zh-CN"/>
        </w:rPr>
        <w:t>，</w:t>
      </w:r>
      <w:r>
        <w:rPr>
          <w:rFonts w:hint="eastAsia" w:ascii="宋体" w:hAnsi="宋体" w:cs="Tahoma"/>
          <w:sz w:val="24"/>
          <w:szCs w:val="22"/>
          <w:lang w:val="en-US" w:eastAsia="zh-CN"/>
        </w:rPr>
        <w:t>并在</w:t>
      </w:r>
      <w:r>
        <w:rPr>
          <w:rFonts w:hint="eastAsia" w:ascii="宋体" w:hAnsi="宋体" w:cs="Tahoma"/>
          <w:sz w:val="24"/>
          <w:szCs w:val="22"/>
        </w:rPr>
        <w:t>2021年6 月</w:t>
      </w:r>
      <w:r>
        <w:rPr>
          <w:rFonts w:hint="eastAsia" w:ascii="宋体" w:hAnsi="宋体" w:cs="Tahoma"/>
          <w:sz w:val="24"/>
          <w:szCs w:val="22"/>
          <w:lang w:val="en-US" w:eastAsia="zh-CN"/>
        </w:rPr>
        <w:t>25</w:t>
      </w:r>
      <w:r>
        <w:rPr>
          <w:rFonts w:hint="eastAsia" w:ascii="宋体" w:hAnsi="宋体" w:cs="Tahoma"/>
          <w:sz w:val="24"/>
          <w:szCs w:val="22"/>
        </w:rPr>
        <w:t>日17：30</w:t>
      </w:r>
      <w:r>
        <w:rPr>
          <w:rFonts w:hint="eastAsia" w:ascii="宋体" w:hAnsi="宋体" w:cs="Tahoma"/>
          <w:sz w:val="24"/>
          <w:szCs w:val="22"/>
          <w:lang w:val="en-US" w:eastAsia="zh-CN"/>
        </w:rPr>
        <w:t>前将报价资料递交至佛山市禅城区汾江北路64号佛山电器照明股份有限公司法律与风控事务部（可邮寄）</w:t>
      </w:r>
      <w:r>
        <w:rPr>
          <w:rFonts w:hint="eastAsia" w:ascii="宋体" w:hAnsi="宋体" w:cs="Tahoma"/>
          <w:sz w:val="24"/>
          <w:szCs w:val="22"/>
        </w:rPr>
        <w:t>。</w:t>
      </w:r>
    </w:p>
    <w:p>
      <w:pPr>
        <w:spacing w:line="500" w:lineRule="exact"/>
        <w:ind w:firstLine="480" w:firstLineChars="200"/>
        <w:rPr>
          <w:rFonts w:ascii="宋体" w:hAnsi="宋体" w:cs="Tahoma"/>
          <w:sz w:val="24"/>
        </w:rPr>
      </w:pPr>
      <w:r>
        <w:rPr>
          <w:rFonts w:hint="eastAsia" w:ascii="宋体" w:hAnsi="宋体" w:cs="Tahoma"/>
          <w:sz w:val="24"/>
        </w:rPr>
        <w:t xml:space="preserve">七、递交报价文件地点：广东省佛山市禅城区汾江北路64号佛山电器照明股份有限公司法律与风控事务部 </w:t>
      </w:r>
    </w:p>
    <w:p>
      <w:pPr>
        <w:spacing w:line="500" w:lineRule="exact"/>
        <w:ind w:firstLine="480" w:firstLineChars="200"/>
        <w:rPr>
          <w:rFonts w:ascii="宋体" w:hAnsi="宋体" w:cs="Tahoma"/>
          <w:sz w:val="24"/>
        </w:rPr>
      </w:pPr>
      <w:r>
        <w:rPr>
          <w:rFonts w:hint="eastAsia" w:ascii="宋体" w:hAnsi="宋体" w:cs="Tahoma"/>
          <w:sz w:val="24"/>
        </w:rPr>
        <w:t>八、评审时间：2021年</w:t>
      </w:r>
      <w:r>
        <w:rPr>
          <w:rFonts w:hint="eastAsia" w:ascii="宋体" w:hAnsi="宋体" w:cs="Tahoma"/>
          <w:sz w:val="24"/>
          <w:lang w:val="en-US" w:eastAsia="zh-CN"/>
        </w:rPr>
        <w:t>6</w:t>
      </w:r>
      <w:r>
        <w:rPr>
          <w:rFonts w:hint="eastAsia" w:ascii="宋体" w:hAnsi="宋体" w:cs="Tahoma"/>
          <w:sz w:val="24"/>
        </w:rPr>
        <w:t>月</w:t>
      </w:r>
      <w:r>
        <w:rPr>
          <w:rFonts w:hint="eastAsia" w:ascii="宋体" w:hAnsi="宋体" w:cs="Tahoma"/>
          <w:sz w:val="24"/>
          <w:lang w:val="en-US" w:eastAsia="zh-CN"/>
        </w:rPr>
        <w:t>28</w:t>
      </w:r>
      <w:r>
        <w:rPr>
          <w:rFonts w:hint="eastAsia" w:ascii="宋体" w:hAnsi="宋体" w:cs="Tahoma"/>
          <w:sz w:val="24"/>
        </w:rPr>
        <w:t xml:space="preserve"> 日 </w:t>
      </w:r>
    </w:p>
    <w:p>
      <w:pPr>
        <w:spacing w:line="500" w:lineRule="exact"/>
        <w:ind w:firstLine="480" w:firstLineChars="200"/>
        <w:rPr>
          <w:rFonts w:ascii="宋体" w:hAnsi="宋体" w:cs="Tahoma"/>
          <w:sz w:val="24"/>
        </w:rPr>
      </w:pPr>
      <w:r>
        <w:rPr>
          <w:rFonts w:hint="eastAsia" w:ascii="宋体" w:hAnsi="宋体" w:cs="Tahoma"/>
          <w:sz w:val="24"/>
        </w:rPr>
        <w:t>九、评审地点： 佛山电器照明股份有限公司</w:t>
      </w:r>
    </w:p>
    <w:p>
      <w:pPr>
        <w:spacing w:line="500" w:lineRule="exact"/>
        <w:ind w:firstLine="480" w:firstLineChars="200"/>
        <w:rPr>
          <w:rFonts w:ascii="宋体" w:hAnsi="宋体"/>
          <w:sz w:val="24"/>
          <w:szCs w:val="24"/>
        </w:rPr>
      </w:pPr>
      <w:r>
        <w:rPr>
          <w:rFonts w:hint="eastAsia" w:ascii="宋体" w:hAnsi="宋体" w:cs="Tahoma"/>
          <w:sz w:val="24"/>
        </w:rPr>
        <w:t>十、</w:t>
      </w:r>
      <w:r>
        <w:rPr>
          <w:rFonts w:hint="eastAsia" w:ascii="宋体" w:hAnsi="宋体"/>
          <w:sz w:val="24"/>
          <w:szCs w:val="24"/>
        </w:rPr>
        <w:t>联系方式</w:t>
      </w:r>
    </w:p>
    <w:p>
      <w:pPr>
        <w:spacing w:line="500" w:lineRule="exact"/>
        <w:ind w:firstLine="480" w:firstLineChars="200"/>
        <w:jc w:val="left"/>
        <w:rPr>
          <w:rFonts w:ascii="宋体" w:hAnsi="宋体"/>
          <w:b/>
          <w:bCs/>
          <w:sz w:val="32"/>
        </w:rPr>
      </w:pPr>
      <w:r>
        <w:rPr>
          <w:rFonts w:hint="eastAsia" w:ascii="宋体" w:hAnsi="宋体" w:cs="Tahoma"/>
          <w:bCs/>
          <w:kern w:val="28"/>
          <w:sz w:val="24"/>
        </w:rPr>
        <w:t>联系人：姚宇   联系电话：18520087149</w:t>
      </w:r>
    </w:p>
    <w:p>
      <w:pPr>
        <w:spacing w:line="520" w:lineRule="exact"/>
        <w:jc w:val="center"/>
        <w:rPr>
          <w:rFonts w:ascii="宋体" w:hAnsi="宋体"/>
          <w:b/>
          <w:bCs/>
          <w:sz w:val="40"/>
          <w:szCs w:val="40"/>
        </w:rPr>
      </w:pPr>
      <w:bookmarkStart w:id="367" w:name="_GoBack"/>
      <w:bookmarkEnd w:id="367"/>
      <w:r>
        <w:rPr>
          <w:rFonts w:hint="eastAsia" w:ascii="宋体" w:hAnsi="宋体"/>
          <w:b/>
          <w:bCs/>
          <w:sz w:val="32"/>
        </w:rPr>
        <w:br w:type="page"/>
      </w:r>
      <w:r>
        <w:rPr>
          <w:rFonts w:hint="eastAsia" w:ascii="宋体" w:hAnsi="宋体"/>
          <w:b/>
          <w:bCs/>
          <w:sz w:val="40"/>
          <w:szCs w:val="40"/>
        </w:rPr>
        <w:t>第二部分 响应供应商须知</w:t>
      </w:r>
    </w:p>
    <w:p>
      <w:pPr>
        <w:pStyle w:val="212"/>
        <w:widowControl w:val="0"/>
        <w:spacing w:before="0" w:beforeAutospacing="0" w:after="0" w:afterAutospacing="0" w:line="520" w:lineRule="exact"/>
        <w:jc w:val="both"/>
        <w:rPr>
          <w:b/>
          <w:bCs/>
          <w:sz w:val="24"/>
          <w:szCs w:val="24"/>
        </w:rPr>
      </w:pPr>
    </w:p>
    <w:p>
      <w:pPr>
        <w:pStyle w:val="212"/>
        <w:widowControl w:val="0"/>
        <w:spacing w:before="0" w:beforeAutospacing="0" w:after="0" w:afterAutospacing="0" w:line="520" w:lineRule="exact"/>
        <w:jc w:val="both"/>
        <w:rPr>
          <w:sz w:val="10"/>
          <w:u w:val="single"/>
        </w:rPr>
      </w:pPr>
      <w:r>
        <w:rPr>
          <w:rFonts w:hint="eastAsia"/>
          <w:b/>
          <w:bCs/>
          <w:sz w:val="24"/>
          <w:szCs w:val="24"/>
          <w:u w:val="single"/>
        </w:rPr>
        <w:t>注：响应供应商必须认真阅读比选文件中所有的事项、格式、条款和采购人需求等。响应供应商没有按照比选文件要求提交全部资料，或者报价文件没有对比选文件在各方面都做出实质性响应是响应供应商的风险，并可能导致其报价无效或被拒绝。</w:t>
      </w:r>
    </w:p>
    <w:p>
      <w:pPr>
        <w:pStyle w:val="4"/>
        <w:numPr>
          <w:ilvl w:val="0"/>
          <w:numId w:val="15"/>
        </w:numPr>
        <w:spacing w:line="520" w:lineRule="exact"/>
        <w:rPr>
          <w:bCs/>
          <w:sz w:val="28"/>
        </w:rPr>
      </w:pPr>
      <w:bookmarkStart w:id="6" w:name="_Toc297209415"/>
      <w:bookmarkStart w:id="7" w:name="_Toc438722126"/>
      <w:bookmarkStart w:id="8" w:name="_Toc435629788"/>
      <w:bookmarkStart w:id="9" w:name="_Toc298829716"/>
      <w:bookmarkStart w:id="10" w:name="_Toc365033702"/>
      <w:bookmarkStart w:id="11" w:name="_Toc505772851"/>
      <w:bookmarkStart w:id="12" w:name="_Toc496649737"/>
      <w:bookmarkStart w:id="13" w:name="_Toc438508593"/>
      <w:bookmarkStart w:id="14" w:name="_Toc479325588"/>
      <w:bookmarkStart w:id="15" w:name="_Toc299108386"/>
      <w:bookmarkStart w:id="16" w:name="_Toc507250896"/>
      <w:bookmarkStart w:id="17" w:name="_Toc418023329"/>
      <w:bookmarkStart w:id="18" w:name="_Toc383124044"/>
      <w:bookmarkStart w:id="19" w:name="_Toc458635592"/>
      <w:bookmarkStart w:id="20" w:name="_Toc343857022"/>
      <w:bookmarkStart w:id="21" w:name="_Toc364846096"/>
      <w:bookmarkStart w:id="22" w:name="_Toc496615945"/>
      <w:bookmarkStart w:id="23" w:name="_Toc350417820"/>
      <w:bookmarkStart w:id="24" w:name="_Toc416208482"/>
      <w:bookmarkStart w:id="25" w:name="_Toc298920088"/>
      <w:bookmarkStart w:id="26" w:name="_Toc298829957"/>
      <w:bookmarkStart w:id="27" w:name="_Toc477879836"/>
      <w:bookmarkStart w:id="28" w:name="_Toc422161988"/>
      <w:bookmarkStart w:id="29" w:name="_Toc470184437"/>
      <w:bookmarkStart w:id="30" w:name="_Toc439513157"/>
      <w:bookmarkStart w:id="31" w:name="_Toc438513730"/>
      <w:bookmarkStart w:id="32" w:name="_Toc20291"/>
      <w:bookmarkStart w:id="33" w:name="_Toc435687271"/>
      <w:bookmarkStart w:id="34" w:name="_Toc414510776"/>
      <w:bookmarkStart w:id="35" w:name="_Toc356489049"/>
      <w:bookmarkStart w:id="36" w:name="_Toc439679264"/>
      <w:bookmarkStart w:id="37" w:name="_Toc49082409"/>
      <w:bookmarkStart w:id="38" w:name="_Toc49135195"/>
      <w:bookmarkStart w:id="39" w:name="_Toc435623750"/>
      <w:bookmarkStart w:id="40" w:name="_Toc439513441"/>
      <w:bookmarkStart w:id="41" w:name="_Toc495584530"/>
      <w:bookmarkStart w:id="42" w:name="_Toc486969375"/>
      <w:bookmarkStart w:id="43" w:name="_Toc425347658"/>
      <w:bookmarkStart w:id="44" w:name="_Toc438641461"/>
      <w:bookmarkStart w:id="45" w:name="_Toc487044248"/>
      <w:bookmarkStart w:id="46" w:name="_Toc380533806"/>
      <w:bookmarkStart w:id="47" w:name="_Toc479340785"/>
      <w:bookmarkStart w:id="48" w:name="_Toc495949927"/>
      <w:bookmarkStart w:id="49" w:name="_Toc507146605"/>
      <w:bookmarkStart w:id="50" w:name="_Toc498541528"/>
      <w:bookmarkStart w:id="51" w:name="_Toc435629834"/>
      <w:bookmarkStart w:id="52" w:name="_Toc497153690"/>
      <w:bookmarkStart w:id="53" w:name="_Toc422865417"/>
      <w:bookmarkStart w:id="54" w:name="_Toc435687345"/>
      <w:bookmarkStart w:id="55" w:name="_Toc435686976"/>
      <w:bookmarkStart w:id="56" w:name="_Toc458980389"/>
      <w:bookmarkStart w:id="57" w:name="_Toc495653136"/>
      <w:bookmarkStart w:id="58" w:name="_Toc298190380"/>
      <w:bookmarkStart w:id="59" w:name="_Toc507139954"/>
      <w:bookmarkStart w:id="60" w:name="_Toc495671505"/>
      <w:r>
        <w:rPr>
          <w:rFonts w:hint="eastAsia"/>
          <w:bCs/>
          <w:sz w:val="28"/>
        </w:rPr>
        <w:t>总体说明</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numPr>
          <w:ilvl w:val="1"/>
          <w:numId w:val="15"/>
        </w:numPr>
        <w:tabs>
          <w:tab w:val="left" w:pos="525"/>
          <w:tab w:val="left" w:pos="630"/>
        </w:tabs>
        <w:spacing w:line="520" w:lineRule="exact"/>
        <w:outlineLvl w:val="3"/>
        <w:rPr>
          <w:rFonts w:ascii="宋体" w:hAnsi="宋体"/>
          <w:b/>
          <w:bCs/>
          <w:sz w:val="24"/>
        </w:rPr>
      </w:pPr>
      <w:r>
        <w:rPr>
          <w:rFonts w:hint="eastAsia" w:ascii="宋体" w:hAnsi="宋体"/>
          <w:b/>
          <w:bCs/>
          <w:sz w:val="24"/>
        </w:rPr>
        <w:t>资金来源</w:t>
      </w:r>
    </w:p>
    <w:p>
      <w:pPr>
        <w:spacing w:line="520" w:lineRule="exact"/>
        <w:ind w:firstLine="480" w:firstLineChars="200"/>
        <w:rPr>
          <w:rFonts w:ascii="宋体" w:hAnsi="宋体"/>
          <w:sz w:val="24"/>
        </w:rPr>
      </w:pPr>
      <w:r>
        <w:rPr>
          <w:rFonts w:hint="eastAsia" w:ascii="宋体" w:hAnsi="宋体"/>
          <w:sz w:val="24"/>
        </w:rPr>
        <w:t>企业资金。</w:t>
      </w:r>
    </w:p>
    <w:p>
      <w:pPr>
        <w:numPr>
          <w:ilvl w:val="1"/>
          <w:numId w:val="15"/>
        </w:numPr>
        <w:tabs>
          <w:tab w:val="left" w:pos="525"/>
          <w:tab w:val="left" w:pos="630"/>
        </w:tabs>
        <w:spacing w:line="520" w:lineRule="exact"/>
        <w:outlineLvl w:val="3"/>
        <w:rPr>
          <w:rFonts w:ascii="宋体" w:hAnsi="宋体"/>
          <w:sz w:val="24"/>
        </w:rPr>
      </w:pPr>
      <w:r>
        <w:rPr>
          <w:rFonts w:hint="eastAsia" w:ascii="宋体" w:hAnsi="宋体"/>
          <w:b/>
          <w:bCs/>
          <w:sz w:val="24"/>
        </w:rPr>
        <w:t>适用范围</w:t>
      </w:r>
    </w:p>
    <w:p>
      <w:pPr>
        <w:tabs>
          <w:tab w:val="left" w:pos="735"/>
        </w:tabs>
        <w:spacing w:line="520" w:lineRule="exact"/>
        <w:rPr>
          <w:rFonts w:ascii="宋体" w:hAnsi="宋体"/>
          <w:sz w:val="24"/>
        </w:rPr>
      </w:pPr>
      <w:r>
        <w:rPr>
          <w:rFonts w:hint="eastAsia" w:ascii="宋体" w:hAnsi="宋体"/>
          <w:sz w:val="24"/>
        </w:rPr>
        <w:t>1.2.1本次采购依据</w:t>
      </w:r>
      <w:r>
        <w:rPr>
          <w:rFonts w:hint="eastAsia" w:ascii="宋体" w:hAnsi="宋体"/>
          <w:sz w:val="24"/>
          <w:szCs w:val="24"/>
        </w:rPr>
        <w:t>《中华人民共和国民法典</w:t>
      </w:r>
      <w:r>
        <w:rPr>
          <w:rFonts w:hint="eastAsia" w:ascii="宋体" w:hAnsi="宋体"/>
          <w:sz w:val="24"/>
        </w:rPr>
        <w:t>》、《佛山电器照明股份有限公司招标和非招标采购管理办法（试行）</w:t>
      </w:r>
      <w:r>
        <w:rPr>
          <w:rFonts w:ascii="宋体" w:hAnsi="宋体"/>
          <w:sz w:val="24"/>
        </w:rPr>
        <w:t>》</w:t>
      </w:r>
      <w:r>
        <w:rPr>
          <w:rFonts w:hint="eastAsia" w:ascii="宋体" w:hAnsi="宋体"/>
          <w:sz w:val="24"/>
        </w:rPr>
        <w:t>等有关规定、制度实施，</w:t>
      </w:r>
      <w:r>
        <w:rPr>
          <w:rFonts w:hint="eastAsia" w:ascii="宋体" w:hAnsi="宋体"/>
          <w:b/>
          <w:bCs/>
          <w:sz w:val="24"/>
          <w:u w:val="single"/>
        </w:rPr>
        <w:t>不适用《招标投标法》、《政府采购法》及相关法律法规</w:t>
      </w:r>
      <w:r>
        <w:rPr>
          <w:rFonts w:hint="eastAsia" w:ascii="宋体" w:hAnsi="宋体"/>
          <w:sz w:val="24"/>
        </w:rPr>
        <w:t>。</w:t>
      </w:r>
    </w:p>
    <w:p>
      <w:pPr>
        <w:tabs>
          <w:tab w:val="left" w:pos="735"/>
        </w:tabs>
        <w:spacing w:line="520" w:lineRule="exact"/>
        <w:rPr>
          <w:rFonts w:ascii="宋体" w:hAnsi="宋体"/>
          <w:sz w:val="24"/>
        </w:rPr>
      </w:pPr>
      <w:r>
        <w:rPr>
          <w:rFonts w:hint="eastAsia" w:ascii="宋体" w:hAnsi="宋体"/>
          <w:sz w:val="24"/>
        </w:rPr>
        <w:t>1.2.2采购人、供应商及各方当事人适用本须知。</w:t>
      </w:r>
    </w:p>
    <w:p>
      <w:pPr>
        <w:numPr>
          <w:ilvl w:val="1"/>
          <w:numId w:val="15"/>
        </w:numPr>
        <w:tabs>
          <w:tab w:val="left" w:pos="525"/>
          <w:tab w:val="left" w:pos="630"/>
        </w:tabs>
        <w:spacing w:line="520" w:lineRule="exact"/>
        <w:outlineLvl w:val="3"/>
        <w:rPr>
          <w:b/>
          <w:bCs/>
          <w:sz w:val="24"/>
        </w:rPr>
      </w:pPr>
      <w:r>
        <w:rPr>
          <w:rFonts w:hint="eastAsia"/>
          <w:b/>
          <w:bCs/>
          <w:sz w:val="24"/>
        </w:rPr>
        <w:t>关于定标方式</w:t>
      </w:r>
    </w:p>
    <w:p>
      <w:pPr>
        <w:spacing w:line="520" w:lineRule="exact"/>
        <w:ind w:firstLine="480" w:firstLineChars="200"/>
        <w:rPr>
          <w:rFonts w:ascii="宋体" w:hAnsi="宋体"/>
        </w:rPr>
      </w:pPr>
      <w:r>
        <w:rPr>
          <w:rFonts w:hint="eastAsia" w:ascii="宋体" w:hAnsi="宋体"/>
          <w:bCs/>
          <w:sz w:val="24"/>
        </w:rPr>
        <w:t>本次比选采用一次报价一次评审定标的方式。</w:t>
      </w:r>
    </w:p>
    <w:p>
      <w:pPr>
        <w:tabs>
          <w:tab w:val="left" w:pos="900"/>
        </w:tabs>
        <w:adjustRightInd w:val="0"/>
        <w:snapToGrid w:val="0"/>
        <w:spacing w:line="520" w:lineRule="exact"/>
        <w:rPr>
          <w:rFonts w:ascii="宋体" w:hAnsi="宋体"/>
          <w:b/>
          <w:sz w:val="24"/>
        </w:rPr>
      </w:pPr>
      <w:bookmarkStart w:id="61" w:name="_Toc264616639"/>
      <w:r>
        <w:rPr>
          <w:rFonts w:hint="eastAsia" w:ascii="宋体" w:hAnsi="宋体" w:cs="宋体"/>
          <w:b/>
          <w:sz w:val="24"/>
        </w:rPr>
        <w:t>1.</w:t>
      </w:r>
      <w:r>
        <w:rPr>
          <w:rFonts w:ascii="宋体" w:hAnsi="宋体" w:cs="宋体"/>
          <w:b/>
          <w:sz w:val="24"/>
        </w:rPr>
        <w:t>4</w:t>
      </w:r>
      <w:r>
        <w:rPr>
          <w:rFonts w:hint="eastAsia" w:ascii="宋体" w:hAnsi="宋体" w:cs="宋体"/>
          <w:b/>
          <w:sz w:val="24"/>
        </w:rPr>
        <w:t>比选文件</w:t>
      </w:r>
      <w:r>
        <w:rPr>
          <w:rFonts w:hint="eastAsia" w:ascii="宋体" w:hAnsi="宋体"/>
          <w:b/>
          <w:sz w:val="24"/>
        </w:rPr>
        <w:t>的解释权</w:t>
      </w:r>
      <w:bookmarkEnd w:id="61"/>
    </w:p>
    <w:p>
      <w:pPr>
        <w:spacing w:line="520" w:lineRule="exact"/>
        <w:ind w:firstLine="480" w:firstLineChars="200"/>
        <w:rPr>
          <w:rFonts w:ascii="宋体" w:hAnsi="宋体"/>
          <w:sz w:val="24"/>
        </w:rPr>
      </w:pPr>
      <w:r>
        <w:rPr>
          <w:rFonts w:hint="eastAsia"/>
          <w:sz w:val="24"/>
        </w:rPr>
        <w:t>本比选</w:t>
      </w:r>
      <w:r>
        <w:rPr>
          <w:rFonts w:hint="eastAsia" w:ascii="宋体" w:hAnsi="宋体" w:cs="宋体"/>
          <w:sz w:val="24"/>
        </w:rPr>
        <w:t>文件</w:t>
      </w:r>
      <w:r>
        <w:rPr>
          <w:rFonts w:hint="eastAsia"/>
          <w:sz w:val="24"/>
        </w:rPr>
        <w:t>的解释权归佛山电器照明股份有限公司所有。</w:t>
      </w:r>
    </w:p>
    <w:p>
      <w:pPr>
        <w:pStyle w:val="4"/>
        <w:numPr>
          <w:ilvl w:val="0"/>
          <w:numId w:val="15"/>
        </w:numPr>
        <w:spacing w:line="520" w:lineRule="exact"/>
      </w:pPr>
      <w:bookmarkStart w:id="62" w:name="_Toc356489050"/>
      <w:bookmarkStart w:id="63" w:name="_Toc380533807"/>
      <w:bookmarkStart w:id="64" w:name="_Toc470184438"/>
      <w:bookmarkStart w:id="65" w:name="_Toc505772852"/>
      <w:bookmarkStart w:id="66" w:name="_Toc298829717"/>
      <w:bookmarkStart w:id="67" w:name="_Toc435623751"/>
      <w:bookmarkStart w:id="68" w:name="_Toc350417821"/>
      <w:bookmarkStart w:id="69" w:name="_Toc496615946"/>
      <w:bookmarkStart w:id="70" w:name="_Toc495584531"/>
      <w:bookmarkStart w:id="71" w:name="_Toc479325589"/>
      <w:bookmarkStart w:id="72" w:name="_Toc438508594"/>
      <w:bookmarkStart w:id="73" w:name="_Toc49135196"/>
      <w:bookmarkStart w:id="74" w:name="_Toc439513442"/>
      <w:bookmarkStart w:id="75" w:name="_Toc343857023"/>
      <w:bookmarkStart w:id="76" w:name="_Toc458980390"/>
      <w:bookmarkStart w:id="77" w:name="_Toc495653137"/>
      <w:bookmarkStart w:id="78" w:name="_Toc439513158"/>
      <w:bookmarkStart w:id="79" w:name="_Toc418023330"/>
      <w:bookmarkStart w:id="80" w:name="_Toc364846097"/>
      <w:bookmarkStart w:id="81" w:name="_Toc365033703"/>
      <w:bookmarkStart w:id="82" w:name="_Toc507250897"/>
      <w:bookmarkStart w:id="83" w:name="_Toc479340786"/>
      <w:bookmarkStart w:id="84" w:name="_Toc496649738"/>
      <w:bookmarkStart w:id="85" w:name="_Toc507146606"/>
      <w:bookmarkStart w:id="86" w:name="_Toc49082410"/>
      <w:bookmarkStart w:id="87" w:name="_Toc383124045"/>
      <w:bookmarkStart w:id="88" w:name="_Toc507139955"/>
      <w:bookmarkStart w:id="89" w:name="_Toc477879837"/>
      <w:bookmarkStart w:id="90" w:name="_Toc416208483"/>
      <w:bookmarkStart w:id="91" w:name="_Toc299108387"/>
      <w:bookmarkStart w:id="92" w:name="_Toc458635593"/>
      <w:bookmarkStart w:id="93" w:name="_Toc438513731"/>
      <w:bookmarkStart w:id="94" w:name="_Toc435629789"/>
      <w:bookmarkStart w:id="95" w:name="_Toc487044249"/>
      <w:bookmarkStart w:id="96" w:name="_Toc435629835"/>
      <w:bookmarkStart w:id="97" w:name="_Toc438722127"/>
      <w:bookmarkStart w:id="98" w:name="_Toc422161989"/>
      <w:bookmarkStart w:id="99" w:name="_Toc297209416"/>
      <w:bookmarkStart w:id="100" w:name="_Toc2048"/>
      <w:bookmarkStart w:id="101" w:name="_Toc435687272"/>
      <w:bookmarkStart w:id="102" w:name="_Toc435687346"/>
      <w:bookmarkStart w:id="103" w:name="_Toc435686977"/>
      <w:bookmarkStart w:id="104" w:name="_Toc495671506"/>
      <w:bookmarkStart w:id="105" w:name="_Toc298829958"/>
      <w:bookmarkStart w:id="106" w:name="_Toc422865418"/>
      <w:bookmarkStart w:id="107" w:name="_Toc486969376"/>
      <w:bookmarkStart w:id="108" w:name="_Toc425347659"/>
      <w:bookmarkStart w:id="109" w:name="_Toc498541529"/>
      <w:bookmarkStart w:id="110" w:name="_Toc298920089"/>
      <w:bookmarkStart w:id="111" w:name="_Toc438641462"/>
      <w:bookmarkStart w:id="112" w:name="_Toc414510777"/>
      <w:bookmarkStart w:id="113" w:name="_Toc497153691"/>
      <w:bookmarkStart w:id="114" w:name="_Toc495949928"/>
      <w:bookmarkStart w:id="115" w:name="_Toc298190381"/>
      <w:bookmarkStart w:id="116" w:name="_Toc439679265"/>
      <w:r>
        <w:rPr>
          <w:rFonts w:hint="eastAsia"/>
        </w:rPr>
        <w:t>比选文件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numPr>
          <w:ilvl w:val="1"/>
          <w:numId w:val="15"/>
        </w:numPr>
        <w:spacing w:line="520" w:lineRule="exact"/>
        <w:outlineLvl w:val="3"/>
        <w:rPr>
          <w:rFonts w:ascii="宋体" w:hAnsi="宋体"/>
          <w:b/>
          <w:bCs/>
        </w:rPr>
      </w:pPr>
      <w:r>
        <w:rPr>
          <w:rFonts w:hint="eastAsia" w:ascii="宋体" w:hAnsi="宋体"/>
          <w:b/>
          <w:bCs/>
          <w:sz w:val="24"/>
        </w:rPr>
        <w:t>比选文件的组成</w:t>
      </w:r>
    </w:p>
    <w:p>
      <w:pPr>
        <w:spacing w:line="520" w:lineRule="exact"/>
        <w:ind w:left="1108" w:hanging="583"/>
        <w:rPr>
          <w:rFonts w:ascii="宋体" w:hAnsi="宋体"/>
          <w:sz w:val="24"/>
        </w:rPr>
      </w:pPr>
      <w:r>
        <w:rPr>
          <w:rFonts w:hint="eastAsia" w:ascii="宋体" w:hAnsi="宋体"/>
          <w:sz w:val="24"/>
        </w:rPr>
        <w:t>（1）比选邀请函</w:t>
      </w:r>
    </w:p>
    <w:p>
      <w:pPr>
        <w:spacing w:line="520" w:lineRule="exact"/>
        <w:ind w:left="1108" w:hanging="583"/>
        <w:rPr>
          <w:rFonts w:ascii="宋体" w:hAnsi="宋体"/>
          <w:sz w:val="24"/>
        </w:rPr>
      </w:pPr>
      <w:r>
        <w:rPr>
          <w:rFonts w:hint="eastAsia" w:ascii="宋体" w:hAnsi="宋体"/>
          <w:sz w:val="24"/>
        </w:rPr>
        <w:t>（2）响应供应商须知</w:t>
      </w:r>
    </w:p>
    <w:p>
      <w:pPr>
        <w:spacing w:line="520" w:lineRule="exact"/>
        <w:ind w:left="1108" w:hanging="583"/>
        <w:rPr>
          <w:rFonts w:ascii="宋体" w:hAnsi="宋体"/>
          <w:sz w:val="24"/>
        </w:rPr>
      </w:pPr>
      <w:r>
        <w:rPr>
          <w:rFonts w:hint="eastAsia" w:ascii="宋体" w:hAnsi="宋体"/>
          <w:sz w:val="24"/>
        </w:rPr>
        <w:t>（3）采购人需求</w:t>
      </w:r>
    </w:p>
    <w:p>
      <w:pPr>
        <w:spacing w:line="520" w:lineRule="exact"/>
        <w:ind w:left="1108" w:hanging="583"/>
        <w:rPr>
          <w:rFonts w:ascii="宋体" w:hAnsi="宋体"/>
          <w:sz w:val="24"/>
        </w:rPr>
      </w:pPr>
      <w:r>
        <w:rPr>
          <w:rFonts w:hint="eastAsia" w:ascii="宋体" w:hAnsi="宋体"/>
          <w:sz w:val="24"/>
        </w:rPr>
        <w:t>（4）评审文件</w:t>
      </w:r>
    </w:p>
    <w:p>
      <w:pPr>
        <w:spacing w:line="520" w:lineRule="exact"/>
        <w:ind w:left="1108" w:hanging="583"/>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）合同样稿</w:t>
      </w:r>
    </w:p>
    <w:p>
      <w:pPr>
        <w:spacing w:line="520" w:lineRule="exact"/>
        <w:ind w:left="1108" w:hanging="583"/>
        <w:rPr>
          <w:rFonts w:ascii="宋体" w:hAnsi="宋体"/>
          <w:sz w:val="24"/>
        </w:rPr>
      </w:pPr>
      <w:r>
        <w:rPr>
          <w:rFonts w:hint="eastAsia" w:ascii="宋体" w:hAnsi="宋体"/>
          <w:sz w:val="24"/>
        </w:rPr>
        <w:t>（6）响应文件格式</w:t>
      </w:r>
    </w:p>
    <w:p>
      <w:pPr>
        <w:spacing w:line="520" w:lineRule="exact"/>
        <w:ind w:left="1108" w:hanging="583"/>
        <w:rPr>
          <w:rFonts w:ascii="宋体" w:hAnsi="宋体"/>
          <w:sz w:val="24"/>
        </w:rPr>
      </w:pPr>
      <w:r>
        <w:rPr>
          <w:rFonts w:hint="eastAsia" w:ascii="宋体" w:hAnsi="宋体"/>
          <w:sz w:val="24"/>
        </w:rPr>
        <w:t>（7）根据比选文件规定发出的澄清、修改及补充文件（如有）；</w:t>
      </w:r>
    </w:p>
    <w:p>
      <w:pPr>
        <w:pStyle w:val="4"/>
        <w:numPr>
          <w:ilvl w:val="0"/>
          <w:numId w:val="15"/>
        </w:numPr>
        <w:spacing w:line="520" w:lineRule="exact"/>
      </w:pPr>
      <w:bookmarkStart w:id="117" w:name="_Toc422865419"/>
      <w:bookmarkStart w:id="118" w:name="_Toc438641463"/>
      <w:bookmarkStart w:id="119" w:name="_Toc297209417"/>
      <w:bookmarkStart w:id="120" w:name="_Toc439513159"/>
      <w:bookmarkStart w:id="121" w:name="_Toc438508595"/>
      <w:bookmarkStart w:id="122" w:name="_Toc507146607"/>
      <w:bookmarkStart w:id="123" w:name="_Toc470184439"/>
      <w:bookmarkStart w:id="124" w:name="_Toc422161990"/>
      <w:bookmarkStart w:id="125" w:name="_Toc495949929"/>
      <w:bookmarkStart w:id="126" w:name="_Toc380533808"/>
      <w:bookmarkStart w:id="127" w:name="_Toc479325590"/>
      <w:bookmarkStart w:id="128" w:name="_Toc507139956"/>
      <w:bookmarkStart w:id="129" w:name="_Toc298190382"/>
      <w:bookmarkStart w:id="130" w:name="_Toc414510778"/>
      <w:bookmarkStart w:id="131" w:name="_Toc438722128"/>
      <w:bookmarkStart w:id="132" w:name="_Toc418023331"/>
      <w:bookmarkStart w:id="133" w:name="_Toc435687347"/>
      <w:bookmarkStart w:id="134" w:name="_Toc505772853"/>
      <w:bookmarkStart w:id="135" w:name="_Toc435629836"/>
      <w:bookmarkStart w:id="136" w:name="_Toc439513443"/>
      <w:bookmarkStart w:id="137" w:name="_Toc495584532"/>
      <w:bookmarkStart w:id="138" w:name="_Toc439679266"/>
      <w:bookmarkStart w:id="139" w:name="_Toc498541530"/>
      <w:bookmarkStart w:id="140" w:name="_Toc497153692"/>
      <w:bookmarkStart w:id="141" w:name="_Toc364846098"/>
      <w:bookmarkStart w:id="142" w:name="_Toc416208484"/>
      <w:bookmarkStart w:id="143" w:name="_Toc298829718"/>
      <w:bookmarkStart w:id="144" w:name="_Toc495671507"/>
      <w:bookmarkStart w:id="145" w:name="_Toc383124046"/>
      <w:bookmarkStart w:id="146" w:name="_Toc365033704"/>
      <w:bookmarkStart w:id="147" w:name="_Toc487044250"/>
      <w:bookmarkStart w:id="148" w:name="_Toc495653138"/>
      <w:bookmarkStart w:id="149" w:name="_Toc458635594"/>
      <w:bookmarkStart w:id="150" w:name="_Toc479340787"/>
      <w:bookmarkStart w:id="151" w:name="_Toc298920090"/>
      <w:bookmarkStart w:id="152" w:name="_Toc486969377"/>
      <w:bookmarkStart w:id="153" w:name="_Toc435686978"/>
      <w:bookmarkStart w:id="154" w:name="_Toc435687273"/>
      <w:bookmarkStart w:id="155" w:name="_Toc356489051"/>
      <w:bookmarkStart w:id="156" w:name="_Toc458980391"/>
      <w:bookmarkStart w:id="157" w:name="_Toc507250898"/>
      <w:bookmarkStart w:id="158" w:name="_Toc343857024"/>
      <w:bookmarkStart w:id="159" w:name="_Toc438513732"/>
      <w:bookmarkStart w:id="160" w:name="_Toc4382"/>
      <w:bookmarkStart w:id="161" w:name="_Toc350417822"/>
      <w:bookmarkStart w:id="162" w:name="_Toc435623752"/>
      <w:bookmarkStart w:id="163" w:name="_Toc435629790"/>
      <w:bookmarkStart w:id="164" w:name="_Toc425347660"/>
      <w:bookmarkStart w:id="165" w:name="_Toc477879838"/>
      <w:bookmarkStart w:id="166" w:name="_Toc299108388"/>
      <w:bookmarkStart w:id="167" w:name="_Toc496649739"/>
      <w:bookmarkStart w:id="168" w:name="_Toc298829959"/>
      <w:bookmarkStart w:id="169" w:name="_Toc496615947"/>
      <w:bookmarkStart w:id="170" w:name="_Toc49082411"/>
      <w:bookmarkStart w:id="171" w:name="_Toc49135197"/>
      <w:r>
        <w:rPr>
          <w:rFonts w:hint="eastAsia"/>
        </w:rPr>
        <w:t>报价文件</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numPr>
          <w:ilvl w:val="1"/>
          <w:numId w:val="15"/>
        </w:numPr>
        <w:spacing w:line="520" w:lineRule="exact"/>
        <w:outlineLvl w:val="3"/>
        <w:rPr>
          <w:rFonts w:ascii="宋体" w:hAnsi="宋体"/>
          <w:b/>
          <w:bCs/>
          <w:sz w:val="24"/>
        </w:rPr>
      </w:pPr>
      <w:r>
        <w:rPr>
          <w:rFonts w:hint="eastAsia" w:ascii="宋体" w:hAnsi="宋体"/>
          <w:b/>
          <w:bCs/>
          <w:sz w:val="24"/>
        </w:rPr>
        <w:t>报价文件的组成</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响应供应商准备的报价文件应包括《第五章 报价文件格式》。</w:t>
      </w:r>
    </w:p>
    <w:p>
      <w:pPr>
        <w:numPr>
          <w:ilvl w:val="2"/>
          <w:numId w:val="15"/>
        </w:numPr>
        <w:tabs>
          <w:tab w:val="left" w:pos="735"/>
        </w:tabs>
        <w:spacing w:line="520" w:lineRule="exact"/>
        <w:ind w:left="735" w:hanging="735"/>
        <w:rPr>
          <w:rFonts w:ascii="宋体" w:hAnsi="宋体"/>
          <w:b/>
          <w:sz w:val="24"/>
          <w:u w:val="single"/>
        </w:rPr>
      </w:pPr>
      <w:r>
        <w:rPr>
          <w:rFonts w:hint="eastAsia" w:ascii="宋体" w:hAnsi="宋体"/>
          <w:b/>
          <w:sz w:val="24"/>
          <w:u w:val="single"/>
        </w:rPr>
        <w:t>响应供应商必须编制完整的报价文件，按上述顺序编制目录及页码并装订成册，内容较多时可以分册装订。各册独立装订的报价文件封面必须加盖响应供应商单位法定印章，报价文件应骑缝加盖响应供应商单位公章或逐页加盖响应供应商单位公章。响应供应商代表可由法定代表人或其委托代理人担任。由委托代理人签署的报价文件中，须同时提交由法定代表人签署的有效的授权委托书</w:t>
      </w:r>
      <w:r>
        <w:rPr>
          <w:rFonts w:hint="eastAsia" w:ascii="宋体" w:hAnsi="宋体"/>
          <w:b/>
          <w:sz w:val="24"/>
        </w:rPr>
        <w:t>。</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响应供应商必须自行承担因其报价文件的任何错漏而导致的一切后果。</w:t>
      </w:r>
    </w:p>
    <w:p>
      <w:pPr>
        <w:numPr>
          <w:ilvl w:val="1"/>
          <w:numId w:val="15"/>
        </w:numPr>
        <w:spacing w:line="520" w:lineRule="exact"/>
        <w:outlineLvl w:val="3"/>
        <w:rPr>
          <w:rFonts w:ascii="宋体" w:hAnsi="宋体"/>
          <w:b/>
          <w:bCs/>
          <w:sz w:val="24"/>
        </w:rPr>
      </w:pPr>
      <w:r>
        <w:rPr>
          <w:rFonts w:hint="eastAsia" w:ascii="宋体" w:hAnsi="宋体"/>
          <w:b/>
          <w:bCs/>
          <w:sz w:val="24"/>
        </w:rPr>
        <w:t>报价的修改和撤回</w:t>
      </w:r>
    </w:p>
    <w:p>
      <w:pPr>
        <w:pStyle w:val="5"/>
        <w:spacing w:line="520" w:lineRule="exact"/>
        <w:ind w:firstLine="480" w:firstLineChars="200"/>
      </w:pPr>
      <w:r>
        <w:rPr>
          <w:rFonts w:hint="eastAsia" w:ascii="宋体" w:hAnsi="宋体"/>
          <w:sz w:val="24"/>
        </w:rPr>
        <w:t>在报价截止时间前响应供应商可以修改和</w:t>
      </w:r>
      <w:r>
        <w:rPr>
          <w:rFonts w:hint="eastAsia" w:ascii="宋体" w:hAnsi="宋体"/>
          <w:bCs/>
          <w:sz w:val="24"/>
        </w:rPr>
        <w:t>撤回</w:t>
      </w:r>
      <w:r>
        <w:rPr>
          <w:rFonts w:hint="eastAsia" w:ascii="宋体" w:hAnsi="宋体"/>
          <w:sz w:val="24"/>
        </w:rPr>
        <w:t>其报价文件，但必须以书面形式通知采购人，报价截止后不得修改和</w:t>
      </w:r>
      <w:r>
        <w:rPr>
          <w:rFonts w:hint="eastAsia" w:ascii="宋体" w:hAnsi="宋体"/>
          <w:bCs/>
          <w:sz w:val="24"/>
        </w:rPr>
        <w:t>撤回</w:t>
      </w:r>
      <w:r>
        <w:rPr>
          <w:rFonts w:hint="eastAsia" w:ascii="宋体" w:hAnsi="宋体"/>
          <w:sz w:val="24"/>
        </w:rPr>
        <w:t>其报价文件。</w:t>
      </w:r>
    </w:p>
    <w:p>
      <w:pPr>
        <w:pStyle w:val="4"/>
        <w:numPr>
          <w:ilvl w:val="0"/>
          <w:numId w:val="15"/>
        </w:numPr>
        <w:spacing w:line="520" w:lineRule="exact"/>
      </w:pPr>
      <w:bookmarkStart w:id="172" w:name="_Toc298829719"/>
      <w:bookmarkStart w:id="173" w:name="_Toc479340788"/>
      <w:bookmarkStart w:id="174" w:name="_Toc435687274"/>
      <w:bookmarkStart w:id="175" w:name="_Toc470184440"/>
      <w:bookmarkStart w:id="176" w:name="_Toc298920091"/>
      <w:bookmarkStart w:id="177" w:name="_Toc414510779"/>
      <w:bookmarkStart w:id="178" w:name="_Toc435629837"/>
      <w:bookmarkStart w:id="179" w:name="_Toc343857025"/>
      <w:bookmarkStart w:id="180" w:name="_Toc350417823"/>
      <w:bookmarkStart w:id="181" w:name="_Toc458980392"/>
      <w:bookmarkStart w:id="182" w:name="_Toc356489052"/>
      <w:bookmarkStart w:id="183" w:name="_Toc439513160"/>
      <w:bookmarkStart w:id="184" w:name="_Toc422865420"/>
      <w:bookmarkStart w:id="185" w:name="_Toc435686979"/>
      <w:bookmarkStart w:id="186" w:name="_Toc495949930"/>
      <w:bookmarkStart w:id="187" w:name="_Toc416208485"/>
      <w:bookmarkStart w:id="188" w:name="_Toc425347661"/>
      <w:bookmarkStart w:id="189" w:name="_Toc507250899"/>
      <w:bookmarkStart w:id="190" w:name="_Toc507139957"/>
      <w:bookmarkStart w:id="191" w:name="_Toc495653139"/>
      <w:bookmarkStart w:id="192" w:name="_Toc497153693"/>
      <w:bookmarkStart w:id="193" w:name="_Toc383124047"/>
      <w:bookmarkStart w:id="194" w:name="_Toc422161991"/>
      <w:bookmarkStart w:id="195" w:name="_Toc418023332"/>
      <w:bookmarkStart w:id="196" w:name="_Toc458635595"/>
      <w:bookmarkStart w:id="197" w:name="_Toc479325591"/>
      <w:bookmarkStart w:id="198" w:name="_Toc364846099"/>
      <w:bookmarkStart w:id="199" w:name="_Toc496615948"/>
      <w:bookmarkStart w:id="200" w:name="_Toc435687348"/>
      <w:bookmarkStart w:id="201" w:name="_Toc477879839"/>
      <w:bookmarkStart w:id="202" w:name="_Toc298829960"/>
      <w:bookmarkStart w:id="203" w:name="_Toc438641464"/>
      <w:bookmarkStart w:id="204" w:name="_Toc486969378"/>
      <w:bookmarkStart w:id="205" w:name="_Toc299108389"/>
      <w:bookmarkStart w:id="206" w:name="_Toc297209418"/>
      <w:bookmarkStart w:id="207" w:name="_Toc298190383"/>
      <w:bookmarkStart w:id="208" w:name="_Toc439679267"/>
      <w:bookmarkStart w:id="209" w:name="_Toc495671508"/>
      <w:bookmarkStart w:id="210" w:name="_Toc439513444"/>
      <w:bookmarkStart w:id="211" w:name="_Toc380533809"/>
      <w:bookmarkStart w:id="212" w:name="_Toc438513733"/>
      <w:bookmarkStart w:id="213" w:name="_Toc505772854"/>
      <w:bookmarkStart w:id="214" w:name="_Toc438722129"/>
      <w:bookmarkStart w:id="215" w:name="_Toc22582"/>
      <w:bookmarkStart w:id="216" w:name="_Toc438508596"/>
      <w:bookmarkStart w:id="217" w:name="_Toc507146608"/>
      <w:bookmarkStart w:id="218" w:name="_Toc496649740"/>
      <w:bookmarkStart w:id="219" w:name="_Toc495584533"/>
      <w:bookmarkStart w:id="220" w:name="_Toc435623753"/>
      <w:bookmarkStart w:id="221" w:name="_Toc365033705"/>
      <w:bookmarkStart w:id="222" w:name="_Toc487044251"/>
      <w:bookmarkStart w:id="223" w:name="_Toc498541531"/>
      <w:bookmarkStart w:id="224" w:name="_Toc435629791"/>
      <w:r>
        <w:rPr>
          <w:rFonts w:hint="eastAsia"/>
        </w:rPr>
        <w:t>报价总则</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pPr>
        <w:numPr>
          <w:ilvl w:val="1"/>
          <w:numId w:val="15"/>
        </w:numPr>
        <w:spacing w:line="520" w:lineRule="exact"/>
        <w:outlineLvl w:val="3"/>
        <w:rPr>
          <w:rFonts w:ascii="宋体" w:hAnsi="宋体"/>
          <w:b/>
          <w:bCs/>
          <w:sz w:val="24"/>
        </w:rPr>
      </w:pPr>
      <w:r>
        <w:rPr>
          <w:rFonts w:hint="eastAsia" w:ascii="宋体" w:hAnsi="宋体"/>
          <w:b/>
          <w:bCs/>
          <w:sz w:val="24"/>
        </w:rPr>
        <w:t>报价</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全部报价文件</w:t>
      </w:r>
      <w:r>
        <w:rPr>
          <w:rFonts w:hint="eastAsia" w:ascii="宋体" w:hAnsi="宋体"/>
          <w:b/>
          <w:bCs/>
          <w:sz w:val="24"/>
          <w:u w:val="single"/>
        </w:rPr>
        <w:t>正本1份，副本2份</w:t>
      </w:r>
      <w:r>
        <w:rPr>
          <w:rFonts w:hint="eastAsia" w:ascii="宋体" w:hAnsi="宋体"/>
          <w:sz w:val="24"/>
        </w:rPr>
        <w:t>，报价文件应由响应供应商的合法授权代表正式签署，任何更改（如有）应由原签署人签字。</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所有报价文件应在报价截止时间前送达报价、评审地点，任何迟于截止时间的报价将被拒绝。</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所有报价文件必须封入密封的信封或包装，在封口上加盖供应商的公章。</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采购人对不可抗力事件造成的报价文件的损坏、丢失不承担任何责任。</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采购人不接受电话、传真报价。</w:t>
      </w:r>
    </w:p>
    <w:p>
      <w:pPr>
        <w:numPr>
          <w:ilvl w:val="1"/>
          <w:numId w:val="15"/>
        </w:numPr>
        <w:spacing w:line="520" w:lineRule="exact"/>
        <w:outlineLvl w:val="3"/>
        <w:rPr>
          <w:rFonts w:ascii="宋体" w:hAnsi="宋体"/>
          <w:b/>
          <w:bCs/>
          <w:sz w:val="24"/>
        </w:rPr>
      </w:pPr>
      <w:r>
        <w:rPr>
          <w:rFonts w:hint="eastAsia" w:ascii="宋体" w:hAnsi="宋体"/>
          <w:b/>
          <w:bCs/>
          <w:sz w:val="24"/>
        </w:rPr>
        <w:t>评审</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本次比选的评审安排</w:t>
      </w:r>
      <w:r>
        <w:rPr>
          <w:rFonts w:hint="eastAsia" w:ascii="宋体" w:hAnsi="宋体"/>
          <w:sz w:val="24"/>
          <w:szCs w:val="22"/>
        </w:rPr>
        <w:t>报价文件资格审查、符合性审查及报价文件详细评审</w:t>
      </w:r>
      <w:r>
        <w:rPr>
          <w:rFonts w:hint="eastAsia" w:ascii="宋体" w:hAnsi="宋体"/>
          <w:sz w:val="24"/>
        </w:rPr>
        <w:t>三个环节。评审时，由评审代表检查所有报价文件的密封情况。经确认无误后，由工作人员当众拆封，宣读响应供应商名称、报价等评审一览表的内容。响应供应商无需参加拆封、唱标。</w:t>
      </w:r>
    </w:p>
    <w:p>
      <w:pPr>
        <w:numPr>
          <w:ilvl w:val="2"/>
          <w:numId w:val="15"/>
        </w:numPr>
        <w:tabs>
          <w:tab w:val="left" w:pos="735"/>
          <w:tab w:val="left" w:pos="1254"/>
        </w:tabs>
        <w:spacing w:line="520" w:lineRule="exact"/>
        <w:ind w:left="735" w:hanging="735"/>
        <w:rPr>
          <w:rFonts w:ascii="宋体" w:hAnsi="宋体"/>
          <w:sz w:val="24"/>
        </w:rPr>
      </w:pPr>
      <w:r>
        <w:rPr>
          <w:rFonts w:hint="eastAsia" w:ascii="宋体" w:hAnsi="宋体"/>
          <w:sz w:val="24"/>
        </w:rPr>
        <w:t>在比选文件要求提交报价文件的截止时间前收到的所有报价文件，评审时均当众予以拆封、宣读。当响应供应商少于三家时，采购人认为存在有效竞争的，可继续比选，在实际合格供应商中确定成交供应商；采购人认为不存在有效竞争的，亦可重新比选。</w:t>
      </w:r>
    </w:p>
    <w:p>
      <w:pPr>
        <w:numPr>
          <w:ilvl w:val="2"/>
          <w:numId w:val="15"/>
        </w:numPr>
        <w:tabs>
          <w:tab w:val="left" w:pos="735"/>
          <w:tab w:val="left" w:pos="1254"/>
        </w:tabs>
        <w:spacing w:line="520" w:lineRule="exact"/>
        <w:ind w:left="735" w:hanging="735"/>
        <w:rPr>
          <w:rFonts w:ascii="宋体" w:hAnsi="宋体"/>
          <w:bCs/>
          <w:sz w:val="24"/>
        </w:rPr>
      </w:pPr>
      <w:r>
        <w:rPr>
          <w:rFonts w:hint="eastAsia" w:ascii="宋体" w:hAnsi="宋体"/>
          <w:sz w:val="24"/>
        </w:rPr>
        <w:t>评审小组对全部报价文件进行详细评审，并制作评审记录。</w:t>
      </w:r>
    </w:p>
    <w:p>
      <w:pPr>
        <w:pStyle w:val="4"/>
        <w:numPr>
          <w:ilvl w:val="0"/>
          <w:numId w:val="15"/>
        </w:numPr>
        <w:spacing w:line="520" w:lineRule="exact"/>
      </w:pPr>
      <w:bookmarkStart w:id="225" w:name="_Toc438722130"/>
      <w:bookmarkStart w:id="226" w:name="_Toc495949931"/>
      <w:bookmarkStart w:id="227" w:name="_Toc42952419"/>
      <w:bookmarkStart w:id="228" w:name="_Toc470184441"/>
      <w:bookmarkStart w:id="229" w:name="_Toc391418659"/>
      <w:bookmarkStart w:id="230" w:name="_Toc391419532"/>
      <w:bookmarkStart w:id="231" w:name="_Toc438641465"/>
      <w:bookmarkStart w:id="232" w:name="_Toc496615949"/>
      <w:bookmarkStart w:id="233" w:name="_Toc458635596"/>
      <w:bookmarkStart w:id="234" w:name="_Toc438508597"/>
      <w:bookmarkStart w:id="235" w:name="_Toc435686980"/>
      <w:bookmarkStart w:id="236" w:name="_Toc439513161"/>
      <w:bookmarkStart w:id="237" w:name="_Toc495584534"/>
      <w:bookmarkStart w:id="238" w:name="_Toc439513445"/>
      <w:bookmarkStart w:id="239" w:name="_Toc490645938"/>
      <w:bookmarkStart w:id="240" w:name="_Toc435687349"/>
      <w:bookmarkStart w:id="241" w:name="_Toc477879840"/>
      <w:bookmarkStart w:id="242" w:name="_Toc486969379"/>
      <w:bookmarkStart w:id="243" w:name="_Toc425347662"/>
      <w:bookmarkStart w:id="244" w:name="_Toc497153694"/>
      <w:bookmarkStart w:id="245" w:name="_Toc399775413"/>
      <w:bookmarkStart w:id="246" w:name="_Toc414510780"/>
      <w:bookmarkStart w:id="247" w:name="_Toc422865421"/>
      <w:bookmarkStart w:id="248" w:name="_Toc403580038"/>
      <w:bookmarkStart w:id="249" w:name="_Toc416208486"/>
      <w:bookmarkStart w:id="250" w:name="_Toc487044252"/>
      <w:bookmarkStart w:id="251" w:name="_Toc495653140"/>
      <w:bookmarkStart w:id="252" w:name="_Toc403830754"/>
      <w:bookmarkStart w:id="253" w:name="_Toc458980393"/>
      <w:bookmarkStart w:id="254" w:name="_Toc507250900"/>
      <w:bookmarkStart w:id="255" w:name="_Toc403072942"/>
      <w:bookmarkStart w:id="256" w:name="_Toc479340789"/>
      <w:bookmarkStart w:id="257" w:name="_Toc496649741"/>
      <w:bookmarkStart w:id="258" w:name="_Toc401655774"/>
      <w:bookmarkStart w:id="259" w:name="_Toc435629792"/>
      <w:bookmarkStart w:id="260" w:name="_Toc507139958"/>
      <w:bookmarkStart w:id="261" w:name="_Toc435687275"/>
      <w:bookmarkStart w:id="262" w:name="_Toc418023333"/>
      <w:bookmarkStart w:id="263" w:name="_Toc9797"/>
      <w:bookmarkStart w:id="264" w:name="_Toc505772855"/>
      <w:bookmarkStart w:id="265" w:name="_Toc435623754"/>
      <w:bookmarkStart w:id="266" w:name="_Toc438513734"/>
      <w:bookmarkStart w:id="267" w:name="_Toc498541532"/>
      <w:bookmarkStart w:id="268" w:name="_Toc495671509"/>
      <w:bookmarkStart w:id="269" w:name="_Toc507146609"/>
      <w:bookmarkStart w:id="270" w:name="_Toc399415363"/>
      <w:bookmarkStart w:id="271" w:name="_Toc479325592"/>
      <w:bookmarkStart w:id="272" w:name="_Toc422161992"/>
      <w:bookmarkStart w:id="273" w:name="_Toc439679268"/>
      <w:bookmarkStart w:id="274" w:name="_Toc435629838"/>
      <w:r>
        <w:rPr>
          <w:rFonts w:hint="eastAsia"/>
        </w:rPr>
        <w:t>授予合同</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numPr>
          <w:ilvl w:val="1"/>
          <w:numId w:val="15"/>
        </w:numPr>
        <w:tabs>
          <w:tab w:val="left" w:pos="360"/>
        </w:tabs>
        <w:spacing w:line="520" w:lineRule="exact"/>
        <w:ind w:left="992" w:hanging="992"/>
        <w:outlineLvl w:val="3"/>
        <w:rPr>
          <w:b/>
          <w:sz w:val="24"/>
          <w:szCs w:val="24"/>
        </w:rPr>
      </w:pPr>
      <w:r>
        <w:rPr>
          <w:rFonts w:hint="eastAsia"/>
          <w:b/>
          <w:sz w:val="24"/>
          <w:szCs w:val="24"/>
        </w:rPr>
        <w:t>成交供应商的确定</w:t>
      </w:r>
    </w:p>
    <w:p>
      <w:pPr>
        <w:numPr>
          <w:ilvl w:val="2"/>
          <w:numId w:val="15"/>
        </w:numPr>
        <w:tabs>
          <w:tab w:val="left" w:pos="735"/>
          <w:tab w:val="left" w:pos="1571"/>
        </w:tabs>
        <w:spacing w:line="520" w:lineRule="exact"/>
        <w:ind w:left="735" w:hanging="735"/>
        <w:rPr>
          <w:rFonts w:hAnsi="宋体"/>
          <w:sz w:val="24"/>
          <w:szCs w:val="24"/>
        </w:rPr>
      </w:pPr>
      <w:r>
        <w:rPr>
          <w:rFonts w:hint="eastAsia" w:hAnsi="宋体"/>
          <w:sz w:val="24"/>
          <w:szCs w:val="24"/>
        </w:rPr>
        <w:t>根据评审小组评审结果，采购人依法确定成交供应商。</w:t>
      </w:r>
    </w:p>
    <w:p>
      <w:pPr>
        <w:numPr>
          <w:ilvl w:val="2"/>
          <w:numId w:val="15"/>
        </w:numPr>
        <w:tabs>
          <w:tab w:val="left" w:pos="735"/>
          <w:tab w:val="left" w:pos="1571"/>
        </w:tabs>
        <w:spacing w:line="520" w:lineRule="exact"/>
        <w:ind w:left="735" w:hanging="735"/>
        <w:rPr>
          <w:rFonts w:hAnsi="宋体"/>
          <w:sz w:val="24"/>
          <w:szCs w:val="24"/>
        </w:rPr>
      </w:pPr>
      <w:r>
        <w:rPr>
          <w:rFonts w:hint="eastAsia" w:hAnsi="宋体"/>
          <w:sz w:val="24"/>
          <w:szCs w:val="24"/>
        </w:rPr>
        <w:t>采购人不承诺将合同授予报价最低的响应供应商。采购人在发出成交通知书前，有权依据评审小组的评审报告拒绝不合格的响应供应商。</w:t>
      </w:r>
    </w:p>
    <w:p>
      <w:pPr>
        <w:numPr>
          <w:ilvl w:val="2"/>
          <w:numId w:val="15"/>
        </w:numPr>
        <w:tabs>
          <w:tab w:val="left" w:pos="735"/>
          <w:tab w:val="left" w:pos="1571"/>
        </w:tabs>
        <w:spacing w:line="520" w:lineRule="exact"/>
        <w:ind w:left="735" w:hanging="735"/>
        <w:rPr>
          <w:rFonts w:hAnsi="宋体"/>
          <w:sz w:val="24"/>
          <w:szCs w:val="24"/>
        </w:rPr>
      </w:pPr>
      <w:r>
        <w:rPr>
          <w:rFonts w:hint="eastAsia" w:hAnsi="宋体"/>
          <w:sz w:val="24"/>
          <w:szCs w:val="24"/>
        </w:rPr>
        <w:t>采购人原则上按评选顺序依次推荐本次服务机构，但鉴于每家机构原则上不能同时参与广晟集团三家（含三家）所属企业的合规管理体系建设工作，因此</w:t>
      </w:r>
      <w:r>
        <w:rPr>
          <w:rFonts w:hint="eastAsia" w:hAnsi="宋体"/>
          <w:sz w:val="24"/>
          <w:szCs w:val="24"/>
          <w:highlight w:val="none"/>
        </w:rPr>
        <w:t>采购人</w:t>
      </w:r>
      <w:r>
        <w:rPr>
          <w:rFonts w:hint="eastAsia" w:hAnsi="宋体"/>
          <w:sz w:val="24"/>
          <w:szCs w:val="24"/>
        </w:rPr>
        <w:t>有权结合广晟集团其他所属企业机构选聘情况和在征求广晟集团意见后调整推荐顺序。</w:t>
      </w:r>
    </w:p>
    <w:p>
      <w:pPr>
        <w:numPr>
          <w:ilvl w:val="2"/>
          <w:numId w:val="15"/>
        </w:numPr>
        <w:tabs>
          <w:tab w:val="left" w:pos="735"/>
          <w:tab w:val="left" w:pos="1571"/>
        </w:tabs>
        <w:spacing w:line="520" w:lineRule="exact"/>
        <w:ind w:left="735" w:hanging="735"/>
        <w:rPr>
          <w:sz w:val="24"/>
          <w:szCs w:val="24"/>
        </w:rPr>
      </w:pPr>
      <w:r>
        <w:rPr>
          <w:rFonts w:hAnsi="宋体"/>
          <w:sz w:val="24"/>
          <w:szCs w:val="24"/>
        </w:rPr>
        <w:t>在</w:t>
      </w:r>
      <w:r>
        <w:rPr>
          <w:rFonts w:hint="eastAsia" w:hAnsi="宋体"/>
          <w:sz w:val="24"/>
          <w:szCs w:val="24"/>
        </w:rPr>
        <w:t>成交结果</w:t>
      </w:r>
      <w:r>
        <w:rPr>
          <w:rFonts w:hAnsi="宋体"/>
          <w:sz w:val="24"/>
          <w:szCs w:val="24"/>
        </w:rPr>
        <w:t>确定之前评审小组成员名单应当保密。评审小组成员、工作人员及监督部门的工作人员必须遵守评审纪律，不得以任何方式泄露评审情况。任何单位和个人不得非</w:t>
      </w:r>
      <w:r>
        <w:rPr>
          <w:sz w:val="24"/>
          <w:szCs w:val="24"/>
        </w:rPr>
        <w:t>法干预、影响评审的过程和结果。</w:t>
      </w:r>
    </w:p>
    <w:p>
      <w:pPr>
        <w:numPr>
          <w:ilvl w:val="1"/>
          <w:numId w:val="15"/>
        </w:numPr>
        <w:tabs>
          <w:tab w:val="left" w:pos="360"/>
        </w:tabs>
        <w:spacing w:line="520" w:lineRule="exact"/>
        <w:ind w:left="992" w:hanging="992"/>
        <w:outlineLvl w:val="3"/>
        <w:rPr>
          <w:b/>
          <w:sz w:val="24"/>
          <w:szCs w:val="24"/>
        </w:rPr>
      </w:pPr>
      <w:r>
        <w:rPr>
          <w:rFonts w:hint="eastAsia"/>
          <w:b/>
          <w:sz w:val="24"/>
          <w:szCs w:val="24"/>
        </w:rPr>
        <w:t>成交结果公告</w:t>
      </w:r>
    </w:p>
    <w:p>
      <w:pPr>
        <w:spacing w:line="520" w:lineRule="exact"/>
        <w:ind w:firstLine="480" w:firstLineChars="200"/>
        <w:rPr>
          <w:rFonts w:ascii="宋体" w:hAnsi="宋体"/>
          <w:sz w:val="24"/>
          <w:szCs w:val="24"/>
        </w:rPr>
      </w:pPr>
      <w:r>
        <w:rPr>
          <w:rFonts w:hint="eastAsia" w:ascii="宋体" w:hAnsi="宋体"/>
          <w:sz w:val="24"/>
          <w:szCs w:val="24"/>
        </w:rPr>
        <w:t>采购人将在</w:t>
      </w:r>
      <w:r>
        <w:rPr>
          <w:rFonts w:hint="eastAsia" w:hAnsi="宋体"/>
          <w:sz w:val="24"/>
        </w:rPr>
        <w:t>公司</w:t>
      </w:r>
      <w:r>
        <w:rPr>
          <w:rFonts w:hAnsi="宋体"/>
          <w:sz w:val="24"/>
        </w:rPr>
        <w:t>门户网站</w:t>
      </w:r>
      <w:r>
        <w:rPr>
          <w:rFonts w:hint="eastAsia" w:hAnsi="宋体"/>
          <w:sz w:val="24"/>
        </w:rPr>
        <w:t>（</w:t>
      </w:r>
      <w:r>
        <w:rPr>
          <w:rFonts w:hAnsi="宋体"/>
          <w:sz w:val="24"/>
        </w:rPr>
        <w:t>网址：</w:t>
      </w:r>
      <w:r>
        <w:rPr>
          <w:rFonts w:hint="eastAsia" w:ascii="宋体" w:hAnsi="宋体" w:cs="Tahoma"/>
          <w:sz w:val="24"/>
          <w:szCs w:val="22"/>
        </w:rPr>
        <w:t>https://www.chinafsl.com/</w:t>
      </w:r>
      <w:r>
        <w:fldChar w:fldCharType="begin"/>
      </w:r>
      <w:r>
        <w:instrText xml:space="preserve"> HYPERLINK "https://www.gzbus.com/" </w:instrText>
      </w:r>
      <w:r>
        <w:fldChar w:fldCharType="separate"/>
      </w:r>
      <w:r>
        <w:fldChar w:fldCharType="end"/>
      </w:r>
      <w:r>
        <w:rPr>
          <w:rFonts w:hint="eastAsia" w:ascii="宋体" w:hAnsi="宋体" w:cs="Tahoma"/>
          <w:sz w:val="24"/>
          <w:szCs w:val="22"/>
        </w:rPr>
        <w:t xml:space="preserve"> </w:t>
      </w:r>
      <w:r>
        <w:rPr>
          <w:rFonts w:hint="eastAsia" w:hAnsi="宋体"/>
          <w:sz w:val="24"/>
        </w:rPr>
        <w:t>）</w:t>
      </w:r>
      <w:r>
        <w:rPr>
          <w:rFonts w:hint="eastAsia" w:ascii="宋体" w:hAnsi="宋体"/>
          <w:sz w:val="24"/>
          <w:szCs w:val="24"/>
        </w:rPr>
        <w:t>公告成交结果。</w:t>
      </w:r>
    </w:p>
    <w:p>
      <w:pPr>
        <w:numPr>
          <w:ilvl w:val="1"/>
          <w:numId w:val="15"/>
        </w:numPr>
        <w:tabs>
          <w:tab w:val="left" w:pos="360"/>
        </w:tabs>
        <w:spacing w:line="520" w:lineRule="exact"/>
        <w:ind w:left="992" w:hanging="992"/>
        <w:outlineLvl w:val="3"/>
        <w:rPr>
          <w:b/>
          <w:sz w:val="24"/>
          <w:szCs w:val="24"/>
        </w:rPr>
      </w:pPr>
      <w:r>
        <w:rPr>
          <w:rFonts w:hint="eastAsia"/>
          <w:b/>
          <w:sz w:val="24"/>
          <w:szCs w:val="24"/>
        </w:rPr>
        <w:t>成交通知书</w:t>
      </w:r>
    </w:p>
    <w:p>
      <w:pPr>
        <w:numPr>
          <w:ilvl w:val="2"/>
          <w:numId w:val="15"/>
        </w:numPr>
        <w:tabs>
          <w:tab w:val="left" w:pos="735"/>
          <w:tab w:val="left" w:pos="1571"/>
        </w:tabs>
        <w:spacing w:line="520" w:lineRule="exact"/>
        <w:ind w:left="735" w:hanging="735"/>
        <w:rPr>
          <w:sz w:val="24"/>
          <w:szCs w:val="24"/>
        </w:rPr>
      </w:pPr>
      <w:r>
        <w:rPr>
          <w:rFonts w:hint="eastAsia"/>
          <w:sz w:val="24"/>
          <w:szCs w:val="24"/>
        </w:rPr>
        <w:t>成交结果公告发布的同时，采购人以书面形式向成交供应商发出依法确认的《成交通知书》。</w:t>
      </w:r>
    </w:p>
    <w:p>
      <w:pPr>
        <w:numPr>
          <w:ilvl w:val="2"/>
          <w:numId w:val="15"/>
        </w:numPr>
        <w:tabs>
          <w:tab w:val="left" w:pos="735"/>
          <w:tab w:val="left" w:pos="1571"/>
        </w:tabs>
        <w:spacing w:line="520" w:lineRule="exact"/>
        <w:ind w:left="735" w:hanging="735"/>
        <w:rPr>
          <w:sz w:val="24"/>
          <w:szCs w:val="24"/>
        </w:rPr>
      </w:pPr>
      <w:r>
        <w:rPr>
          <w:rFonts w:hint="eastAsia"/>
          <w:sz w:val="24"/>
          <w:szCs w:val="24"/>
        </w:rPr>
        <w:t>《成交通知书》是合同的组成部分，对采购人和成交供应商具有同等法律效力；《成交通知书》发出后，采购人改变成交结果，或者成交供应商放弃中标的，均应承担相应的法律责任。</w:t>
      </w:r>
    </w:p>
    <w:p>
      <w:pPr>
        <w:numPr>
          <w:ilvl w:val="1"/>
          <w:numId w:val="15"/>
        </w:numPr>
        <w:tabs>
          <w:tab w:val="left" w:pos="360"/>
        </w:tabs>
        <w:spacing w:line="520" w:lineRule="exact"/>
        <w:ind w:left="992" w:hanging="992"/>
        <w:outlineLvl w:val="3"/>
        <w:rPr>
          <w:b/>
          <w:sz w:val="24"/>
          <w:szCs w:val="24"/>
        </w:rPr>
      </w:pPr>
      <w:r>
        <w:rPr>
          <w:rFonts w:hint="eastAsia"/>
          <w:b/>
          <w:sz w:val="24"/>
          <w:szCs w:val="24"/>
        </w:rPr>
        <w:t>签订合同</w:t>
      </w:r>
    </w:p>
    <w:p>
      <w:pPr>
        <w:numPr>
          <w:ilvl w:val="2"/>
          <w:numId w:val="15"/>
        </w:numPr>
        <w:tabs>
          <w:tab w:val="left" w:pos="735"/>
          <w:tab w:val="left" w:pos="1571"/>
        </w:tabs>
        <w:spacing w:line="520" w:lineRule="exact"/>
        <w:ind w:left="735" w:hanging="735"/>
        <w:rPr>
          <w:sz w:val="24"/>
          <w:szCs w:val="24"/>
        </w:rPr>
      </w:pPr>
      <w:r>
        <w:rPr>
          <w:rFonts w:hint="eastAsia"/>
          <w:sz w:val="24"/>
          <w:szCs w:val="24"/>
        </w:rPr>
        <w:t>成交供应商在收到《成交通知书》后，应按照《成交通知书》指定的时间、地点，派遣其授权代表与采购人签署合同。</w:t>
      </w:r>
    </w:p>
    <w:p>
      <w:pPr>
        <w:numPr>
          <w:ilvl w:val="2"/>
          <w:numId w:val="15"/>
        </w:numPr>
        <w:tabs>
          <w:tab w:val="left" w:pos="735"/>
          <w:tab w:val="left" w:pos="1571"/>
        </w:tabs>
        <w:spacing w:line="520" w:lineRule="exact"/>
        <w:ind w:left="735" w:hanging="735"/>
        <w:rPr>
          <w:sz w:val="24"/>
          <w:szCs w:val="24"/>
        </w:rPr>
      </w:pPr>
      <w:r>
        <w:rPr>
          <w:rFonts w:hint="eastAsia"/>
          <w:sz w:val="24"/>
          <w:szCs w:val="24"/>
        </w:rPr>
        <w:t>合同的组成基于但不限于以下部分：</w:t>
      </w:r>
    </w:p>
    <w:p>
      <w:pPr>
        <w:widowControl/>
        <w:numPr>
          <w:ilvl w:val="0"/>
          <w:numId w:val="30"/>
        </w:numPr>
        <w:tabs>
          <w:tab w:val="left" w:pos="720"/>
          <w:tab w:val="left" w:pos="1418"/>
        </w:tabs>
        <w:spacing w:line="520" w:lineRule="exact"/>
        <w:ind w:left="1148" w:leftChars="356" w:hanging="400" w:hangingChars="167"/>
        <w:jc w:val="left"/>
        <w:rPr>
          <w:sz w:val="24"/>
          <w:szCs w:val="24"/>
        </w:rPr>
      </w:pPr>
      <w:r>
        <w:rPr>
          <w:rFonts w:hint="eastAsia"/>
          <w:sz w:val="24"/>
          <w:szCs w:val="24"/>
        </w:rPr>
        <w:t>《合同》；</w:t>
      </w:r>
    </w:p>
    <w:p>
      <w:pPr>
        <w:widowControl/>
        <w:numPr>
          <w:ilvl w:val="0"/>
          <w:numId w:val="30"/>
        </w:numPr>
        <w:tabs>
          <w:tab w:val="left" w:pos="720"/>
          <w:tab w:val="left" w:pos="1418"/>
        </w:tabs>
        <w:spacing w:line="520" w:lineRule="exact"/>
        <w:ind w:left="1148" w:leftChars="356" w:hanging="400" w:hangingChars="167"/>
        <w:jc w:val="left"/>
        <w:rPr>
          <w:sz w:val="24"/>
          <w:szCs w:val="24"/>
        </w:rPr>
      </w:pPr>
      <w:r>
        <w:rPr>
          <w:rFonts w:hint="eastAsia"/>
          <w:sz w:val="24"/>
          <w:szCs w:val="24"/>
        </w:rPr>
        <w:t>公开比选文件及其澄清、补充文件；</w:t>
      </w:r>
    </w:p>
    <w:p>
      <w:pPr>
        <w:widowControl/>
        <w:numPr>
          <w:ilvl w:val="0"/>
          <w:numId w:val="30"/>
        </w:numPr>
        <w:tabs>
          <w:tab w:val="left" w:pos="720"/>
          <w:tab w:val="left" w:pos="1418"/>
        </w:tabs>
        <w:spacing w:line="520" w:lineRule="exact"/>
        <w:ind w:left="1148" w:leftChars="356" w:hanging="400" w:hangingChars="167"/>
        <w:jc w:val="left"/>
        <w:rPr>
          <w:sz w:val="24"/>
          <w:szCs w:val="24"/>
        </w:rPr>
      </w:pPr>
      <w:r>
        <w:rPr>
          <w:rFonts w:hint="eastAsia"/>
          <w:sz w:val="24"/>
          <w:szCs w:val="24"/>
        </w:rPr>
        <w:t>成交供应商的报价文件及其澄清、补充文件；</w:t>
      </w:r>
    </w:p>
    <w:p>
      <w:pPr>
        <w:widowControl/>
        <w:numPr>
          <w:ilvl w:val="0"/>
          <w:numId w:val="30"/>
        </w:numPr>
        <w:tabs>
          <w:tab w:val="left" w:pos="720"/>
          <w:tab w:val="left" w:pos="1418"/>
        </w:tabs>
        <w:spacing w:line="520" w:lineRule="exact"/>
        <w:ind w:left="1148" w:leftChars="356" w:hanging="400" w:hangingChars="167"/>
        <w:jc w:val="left"/>
        <w:rPr>
          <w:rFonts w:ascii="宋体" w:hAnsi="宋体"/>
          <w:b/>
          <w:sz w:val="24"/>
        </w:rPr>
      </w:pPr>
      <w:r>
        <w:rPr>
          <w:rFonts w:hint="eastAsia"/>
          <w:sz w:val="24"/>
          <w:szCs w:val="24"/>
        </w:rPr>
        <w:t>成交通知书。</w:t>
      </w:r>
    </w:p>
    <w:p>
      <w:pPr>
        <w:widowControl/>
        <w:tabs>
          <w:tab w:val="left" w:pos="720"/>
          <w:tab w:val="left" w:pos="1418"/>
        </w:tabs>
        <w:spacing w:line="520" w:lineRule="exact"/>
        <w:ind w:left="397" w:leftChars="189"/>
        <w:jc w:val="left"/>
        <w:rPr>
          <w:rFonts w:ascii="宋体" w:hAnsi="宋体"/>
          <w:b/>
          <w:sz w:val="24"/>
        </w:rPr>
      </w:pPr>
    </w:p>
    <w:p>
      <w:pPr>
        <w:spacing w:before="50" w:after="50" w:line="520" w:lineRule="exact"/>
        <w:rPr>
          <w:rFonts w:ascii="宋体" w:hAnsi="宋体"/>
          <w:sz w:val="24"/>
        </w:rPr>
      </w:pPr>
    </w:p>
    <w:p>
      <w:pPr>
        <w:spacing w:before="50" w:after="50" w:line="360" w:lineRule="auto"/>
        <w:rPr>
          <w:rFonts w:ascii="宋体" w:hAnsi="宋体"/>
          <w:sz w:val="24"/>
        </w:rPr>
      </w:pPr>
    </w:p>
    <w:p>
      <w:pPr>
        <w:spacing w:before="50" w:after="50" w:line="360" w:lineRule="auto"/>
        <w:rPr>
          <w:rFonts w:ascii="宋体" w:hAnsi="宋体"/>
          <w:sz w:val="24"/>
        </w:rPr>
      </w:pPr>
    </w:p>
    <w:p>
      <w:pPr>
        <w:spacing w:before="50" w:after="50" w:line="360" w:lineRule="auto"/>
        <w:rPr>
          <w:rFonts w:ascii="宋体" w:hAnsi="宋体"/>
          <w:sz w:val="24"/>
        </w:rPr>
      </w:pPr>
    </w:p>
    <w:p>
      <w:pPr>
        <w:spacing w:before="50" w:after="50" w:line="360" w:lineRule="auto"/>
        <w:rPr>
          <w:rFonts w:ascii="宋体" w:hAnsi="宋体"/>
          <w:sz w:val="24"/>
        </w:rPr>
      </w:pPr>
    </w:p>
    <w:p>
      <w:pPr>
        <w:spacing w:line="360" w:lineRule="auto"/>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360" w:lineRule="auto"/>
        <w:jc w:val="center"/>
        <w:rPr>
          <w:rFonts w:ascii="宋体" w:hAnsi="宋体" w:cs="Arial"/>
          <w:b/>
          <w:bCs/>
          <w:sz w:val="28"/>
          <w:szCs w:val="28"/>
        </w:rPr>
      </w:pPr>
    </w:p>
    <w:p>
      <w:pPr>
        <w:spacing w:line="520" w:lineRule="exact"/>
        <w:jc w:val="center"/>
        <w:rPr>
          <w:rFonts w:ascii="宋体" w:hAnsi="宋体"/>
          <w:b/>
          <w:bCs/>
          <w:sz w:val="40"/>
          <w:szCs w:val="40"/>
        </w:rPr>
      </w:pPr>
      <w:r>
        <w:rPr>
          <w:rFonts w:hint="eastAsia" w:ascii="宋体" w:hAnsi="宋体"/>
          <w:b/>
          <w:bCs/>
          <w:sz w:val="40"/>
          <w:szCs w:val="40"/>
        </w:rPr>
        <w:t>第三部分 采购人需求</w:t>
      </w:r>
    </w:p>
    <w:p>
      <w:pPr>
        <w:pStyle w:val="27"/>
        <w:tabs>
          <w:tab w:val="left" w:pos="540"/>
        </w:tabs>
        <w:adjustRightInd w:val="0"/>
        <w:snapToGrid w:val="0"/>
        <w:spacing w:line="360" w:lineRule="auto"/>
        <w:ind w:left="420"/>
        <w:rPr>
          <w:rFonts w:hAnsi="宋体"/>
          <w:b/>
          <w:sz w:val="24"/>
          <w:szCs w:val="24"/>
        </w:rPr>
      </w:pPr>
    </w:p>
    <w:p>
      <w:pPr>
        <w:spacing w:line="500" w:lineRule="exact"/>
        <w:ind w:right="25" w:rightChars="12"/>
        <w:rPr>
          <w:rFonts w:ascii="宋体" w:hAnsi="宋体"/>
          <w:sz w:val="24"/>
        </w:rPr>
      </w:pPr>
      <w:r>
        <w:rPr>
          <w:rFonts w:hint="eastAsia" w:ascii="宋体" w:hAnsi="宋体"/>
          <w:sz w:val="24"/>
        </w:rPr>
        <w:t>鉴于：</w:t>
      </w:r>
    </w:p>
    <w:p>
      <w:pPr>
        <w:spacing w:line="500" w:lineRule="exact"/>
        <w:ind w:right="25" w:rightChars="12" w:firstLine="480" w:firstLineChars="200"/>
        <w:rPr>
          <w:rFonts w:ascii="宋体" w:hAnsi="宋体"/>
          <w:sz w:val="24"/>
        </w:rPr>
      </w:pPr>
      <w:r>
        <w:rPr>
          <w:rFonts w:hint="eastAsia" w:ascii="宋体" w:hAnsi="宋体"/>
          <w:sz w:val="24"/>
        </w:rPr>
        <w:t>2019年11月，国务院国资委发布了《关于加强中央企业内部控制体系建设与监督工作的实施意见》（以下简称101号文），明确了企业内部控制应以风险管理为导向、合规管理监督为重点，企业应全面整合风险、内控、合规管理体系的工作思路、工具、方法，将风险管理和合规管理要求嵌入业务流程，促使企业依法合规开展各项经营活动，实现“强内控、防风险、促合规”的管控目标。目前，广东省国有企业均在积极推进企业合规体系建设，推动合规体系与风险、内控体系的整合工作。</w:t>
      </w:r>
    </w:p>
    <w:p>
      <w:pPr>
        <w:spacing w:line="500" w:lineRule="exact"/>
        <w:ind w:right="25" w:rightChars="12" w:firstLine="480" w:firstLineChars="200"/>
        <w:rPr>
          <w:rFonts w:ascii="宋体" w:hAnsi="宋体"/>
          <w:sz w:val="24"/>
        </w:rPr>
      </w:pPr>
      <w:r>
        <w:rPr>
          <w:rFonts w:hint="eastAsia" w:ascii="宋体" w:hAnsi="宋体"/>
          <w:sz w:val="24"/>
        </w:rPr>
        <w:t>而采购人是国有控股的上市公司，成立于1958年，1993年在深交所上市，一直专注于研发、生产、推广高品质的绿色节能照明产品，致力于为客户提供全方位的照明解决方案和专业服务，是国内综合竞争实力较强的照明品牌之一。公司拥有佛山禅城总部及南海、高明、河南新乡、江苏南京五大生产基地，具有规模化的生产实力。公司产品线覆盖家居、商业、户外、办公、教育等领域，渠道网点覆盖下沉，公司40％左右的产品出口到世界120多个国家和地区。作为上市公司，公司在2013年建立以风险防控为导向的内控体系，并在实际运营过程中不断完善内控体系，目前公司内控体系是合理有效的。</w:t>
      </w:r>
    </w:p>
    <w:p>
      <w:pPr>
        <w:spacing w:line="500" w:lineRule="exact"/>
        <w:ind w:right="25" w:rightChars="12" w:firstLine="480" w:firstLineChars="200"/>
        <w:rPr>
          <w:rFonts w:ascii="宋体" w:hAnsi="宋体"/>
          <w:sz w:val="24"/>
        </w:rPr>
      </w:pPr>
      <w:r>
        <w:rPr>
          <w:rFonts w:hint="eastAsia" w:ascii="宋体" w:hAnsi="宋体"/>
          <w:sz w:val="24"/>
        </w:rPr>
        <w:t>现时，采购人合规管理水平与监管建设指引要求还存在较大差距，合规管理体系水平亟待提升。公司目前的合规管理组织架构与职责体系尚未明确，日常合规管理工作机制尚未建立，合规管理的工作内容尚不明确，合规管理的相关管理制度、流程、作业工具、考核机制均未建立，不利于公司长期持续及时发现、分析公司存在的合规风险、合规管理问题，可能导致日常经营管理行为未充分遵循或达到外部相关法律法规等监管要求、内部管理制度规范的情况。</w:t>
      </w:r>
    </w:p>
    <w:p>
      <w:pPr>
        <w:spacing w:line="500" w:lineRule="exact"/>
        <w:ind w:right="25" w:rightChars="12" w:firstLine="480" w:firstLineChars="200"/>
        <w:rPr>
          <w:rFonts w:ascii="宋体" w:hAnsi="宋体"/>
          <w:sz w:val="24"/>
        </w:rPr>
      </w:pPr>
      <w:r>
        <w:rPr>
          <w:rFonts w:hint="eastAsia" w:ascii="宋体" w:hAnsi="宋体"/>
          <w:sz w:val="24"/>
        </w:rPr>
        <w:t>此外，公司风险、内控的相关管理制度、工具、作业表单也处于割裂状态，给各业务部门、下属单位带来较大工作压力，相较于国务院国资委于2019年底最新出台的101号文对于风险、内控、合规整合体系建设与评价的思路、做法、力度均还存在较大差异。公司的风险、内控体系亟待结合合规体系的建设进行三者管理思路、工具、方法的充分整合，实现更加高效、有效的风险、内控、合规管理。</w:t>
      </w:r>
    </w:p>
    <w:p>
      <w:pPr>
        <w:spacing w:line="500" w:lineRule="exact"/>
        <w:ind w:right="25" w:rightChars="12" w:firstLine="480" w:firstLineChars="200"/>
        <w:rPr>
          <w:rFonts w:ascii="宋体" w:hAnsi="宋体"/>
          <w:sz w:val="24"/>
        </w:rPr>
      </w:pPr>
      <w:r>
        <w:rPr>
          <w:rFonts w:hint="eastAsia" w:ascii="宋体" w:hAnsi="宋体"/>
          <w:sz w:val="24"/>
        </w:rPr>
        <w:t>采购人有强烈意愿建立较为完善的合规管理体系，基本实现合规管理体系健全、合规制度体系完备、合规工作流程规范、合规文化深入人心。实现合规管理、风险管理、内部控制三大管理体系的深度融合，为此，特组织本次采购，具体需求如下：</w:t>
      </w:r>
    </w:p>
    <w:p>
      <w:pPr>
        <w:spacing w:line="500" w:lineRule="exact"/>
        <w:ind w:right="25" w:rightChars="12" w:firstLine="480" w:firstLineChars="200"/>
        <w:rPr>
          <w:rFonts w:ascii="宋体" w:hAnsi="宋体"/>
          <w:sz w:val="24"/>
        </w:rPr>
      </w:pPr>
      <w:r>
        <w:rPr>
          <w:rFonts w:hint="eastAsia" w:ascii="宋体" w:hAnsi="宋体"/>
          <w:sz w:val="24"/>
        </w:rPr>
        <w:t>一、成交供应商需熟悉《合规管理体系指南》、《中央企业合规管理指引（试行）》、《中央企业境外经营合规管理指引（试行）》、《广东省省属企业合规管理指引（试行）》等文件要求，并结合《中央企业全面风险管理指引》、《关于加强中央企业内部控制体系建设与监督工作的实施意见》相关规定及国内外合规、风控、内控先进经验，为采购人完成以下工作：</w:t>
      </w:r>
    </w:p>
    <w:p>
      <w:pPr>
        <w:numPr>
          <w:ilvl w:val="0"/>
          <w:numId w:val="31"/>
        </w:numPr>
        <w:spacing w:line="500" w:lineRule="exact"/>
        <w:ind w:right="25" w:rightChars="12"/>
        <w:rPr>
          <w:rFonts w:ascii="宋体" w:hAnsi="宋体"/>
          <w:sz w:val="24"/>
        </w:rPr>
      </w:pPr>
      <w:r>
        <w:rPr>
          <w:rFonts w:hint="eastAsia" w:ascii="宋体" w:hAnsi="宋体"/>
          <w:sz w:val="24"/>
        </w:rPr>
        <w:t>分析公司合规管理体系建设现状，开展合规管理评估。</w:t>
      </w:r>
    </w:p>
    <w:p>
      <w:pPr>
        <w:numPr>
          <w:ilvl w:val="0"/>
          <w:numId w:val="31"/>
        </w:numPr>
        <w:spacing w:line="500" w:lineRule="exact"/>
        <w:ind w:right="25" w:rightChars="12"/>
        <w:rPr>
          <w:rFonts w:ascii="宋体" w:hAnsi="宋体"/>
          <w:sz w:val="24"/>
        </w:rPr>
      </w:pPr>
      <w:r>
        <w:rPr>
          <w:rFonts w:hint="eastAsia" w:ascii="宋体" w:hAnsi="宋体"/>
          <w:sz w:val="24"/>
        </w:rPr>
        <w:t>梳理公司合规义务来源，包括公司主业、国资监管、深交所规范有关的外部法律法规及内部制度规定等，形成的法律法规、制度库。</w:t>
      </w:r>
    </w:p>
    <w:p>
      <w:pPr>
        <w:numPr>
          <w:ilvl w:val="0"/>
          <w:numId w:val="31"/>
        </w:numPr>
        <w:spacing w:line="500" w:lineRule="exact"/>
        <w:ind w:right="25" w:rightChars="12"/>
        <w:rPr>
          <w:rFonts w:ascii="宋体" w:hAnsi="宋体"/>
          <w:sz w:val="24"/>
        </w:rPr>
      </w:pPr>
      <w:r>
        <w:rPr>
          <w:rFonts w:hint="eastAsia" w:ascii="宋体" w:hAnsi="宋体"/>
          <w:sz w:val="24"/>
        </w:rPr>
        <w:t>梳理公司合规管理重点领域、重点环节和重点人员，明确合规管理重点及建立管理制度或机制。</w:t>
      </w:r>
    </w:p>
    <w:p>
      <w:pPr>
        <w:numPr>
          <w:ilvl w:val="0"/>
          <w:numId w:val="31"/>
        </w:numPr>
        <w:spacing w:line="500" w:lineRule="exact"/>
        <w:ind w:right="25" w:rightChars="12"/>
        <w:rPr>
          <w:rFonts w:ascii="宋体" w:hAnsi="宋体"/>
          <w:sz w:val="24"/>
        </w:rPr>
      </w:pPr>
      <w:r>
        <w:rPr>
          <w:rFonts w:hint="eastAsia" w:ascii="宋体" w:hAnsi="宋体"/>
          <w:sz w:val="24"/>
        </w:rPr>
        <w:t>建立、完善集团合规管理组织体系、治理架构、流程体系和制度体系，指导公司修订具体业务制度。</w:t>
      </w:r>
    </w:p>
    <w:p>
      <w:pPr>
        <w:numPr>
          <w:ilvl w:val="0"/>
          <w:numId w:val="31"/>
        </w:numPr>
        <w:spacing w:line="500" w:lineRule="exact"/>
        <w:ind w:right="25" w:rightChars="12"/>
        <w:rPr>
          <w:rFonts w:ascii="宋体" w:hAnsi="宋体"/>
          <w:sz w:val="24"/>
        </w:rPr>
      </w:pPr>
      <w:r>
        <w:rPr>
          <w:rFonts w:hint="eastAsia" w:ascii="宋体" w:hAnsi="宋体"/>
          <w:sz w:val="24"/>
        </w:rPr>
        <w:t>梳理形成合规管理风险库，建立合规风险动态更新机制。</w:t>
      </w:r>
    </w:p>
    <w:p>
      <w:pPr>
        <w:numPr>
          <w:ilvl w:val="0"/>
          <w:numId w:val="31"/>
        </w:numPr>
        <w:spacing w:line="500" w:lineRule="exact"/>
        <w:ind w:right="25" w:rightChars="12"/>
        <w:rPr>
          <w:rFonts w:ascii="宋体" w:hAnsi="宋体"/>
          <w:sz w:val="24"/>
        </w:rPr>
      </w:pPr>
      <w:r>
        <w:rPr>
          <w:rFonts w:hint="eastAsia" w:ascii="宋体" w:hAnsi="宋体"/>
          <w:sz w:val="24"/>
        </w:rPr>
        <w:t>开展合规管理培训和文化宣贯。</w:t>
      </w:r>
    </w:p>
    <w:p>
      <w:pPr>
        <w:numPr>
          <w:ilvl w:val="0"/>
          <w:numId w:val="31"/>
        </w:numPr>
        <w:spacing w:line="500" w:lineRule="exact"/>
        <w:ind w:right="25" w:rightChars="12"/>
        <w:rPr>
          <w:rFonts w:ascii="宋体" w:hAnsi="宋体"/>
          <w:sz w:val="24"/>
        </w:rPr>
      </w:pPr>
      <w:r>
        <w:rPr>
          <w:rFonts w:hint="eastAsia" w:ascii="宋体" w:hAnsi="宋体"/>
          <w:sz w:val="24"/>
        </w:rPr>
        <w:t>建立合规审查、风险应对与预警、问责、评估、考核评价、报告等合规管理运行机制和保障机制，形成相应流程和制度。</w:t>
      </w:r>
    </w:p>
    <w:p>
      <w:pPr>
        <w:numPr>
          <w:ilvl w:val="0"/>
          <w:numId w:val="31"/>
        </w:numPr>
        <w:spacing w:line="500" w:lineRule="exact"/>
        <w:ind w:right="25" w:rightChars="12"/>
        <w:rPr>
          <w:rFonts w:ascii="宋体" w:hAnsi="宋体"/>
          <w:sz w:val="24"/>
        </w:rPr>
      </w:pPr>
      <w:r>
        <w:rPr>
          <w:rFonts w:hint="eastAsia" w:ascii="宋体" w:hAnsi="宋体"/>
          <w:sz w:val="24"/>
        </w:rPr>
        <w:t>梳理合规体系与其他现有体系之间的关系，分析比较合规、风控、内控等系统趋同性，提出一体化制度建设方案，整合流程、表单，搭建协同联动的管理体系。</w:t>
      </w:r>
    </w:p>
    <w:p>
      <w:pPr>
        <w:numPr>
          <w:ilvl w:val="0"/>
          <w:numId w:val="31"/>
        </w:numPr>
        <w:spacing w:line="500" w:lineRule="exact"/>
        <w:ind w:right="25" w:rightChars="12"/>
        <w:rPr>
          <w:rFonts w:ascii="宋体" w:hAnsi="宋体"/>
          <w:b/>
          <w:bCs/>
          <w:sz w:val="24"/>
          <w:u w:val="single"/>
        </w:rPr>
      </w:pPr>
      <w:r>
        <w:rPr>
          <w:rFonts w:hint="eastAsia" w:ascii="宋体" w:hAnsi="宋体"/>
          <w:sz w:val="24"/>
        </w:rPr>
        <w:t>成果展示和验收。形成企业合规管理建设报告，圆满完成佛山电器照明股份有限公司合规管理建设工作。</w:t>
      </w:r>
    </w:p>
    <w:p>
      <w:pPr>
        <w:spacing w:line="500" w:lineRule="exact"/>
        <w:ind w:right="25" w:rightChars="12" w:firstLine="482" w:firstLineChars="200"/>
        <w:rPr>
          <w:rFonts w:ascii="宋体" w:hAnsi="宋体"/>
          <w:b/>
          <w:bCs/>
          <w:color w:val="FF0000"/>
          <w:sz w:val="24"/>
          <w:u w:val="single"/>
        </w:rPr>
      </w:pPr>
      <w:r>
        <w:rPr>
          <w:rFonts w:hint="eastAsia" w:ascii="宋体" w:hAnsi="宋体"/>
          <w:b/>
          <w:bCs/>
          <w:sz w:val="24"/>
          <w:u w:val="single"/>
        </w:rPr>
        <w:t>备注：本次项目为佛山电器照明股份有限公司体系建设，无需成交供应商为集团下属各级子企业提供体系建设咨询服务。</w:t>
      </w:r>
    </w:p>
    <w:p>
      <w:pPr>
        <w:spacing w:line="500" w:lineRule="exact"/>
        <w:ind w:right="25" w:rightChars="12" w:firstLine="480" w:firstLineChars="200"/>
        <w:rPr>
          <w:rFonts w:ascii="宋体" w:hAnsi="宋体"/>
          <w:sz w:val="24"/>
          <w:szCs w:val="22"/>
        </w:rPr>
      </w:pPr>
      <w:r>
        <w:rPr>
          <w:rFonts w:hint="eastAsia" w:ascii="宋体" w:hAnsi="宋体"/>
          <w:sz w:val="24"/>
          <w:szCs w:val="22"/>
        </w:rPr>
        <w:t>二、</w:t>
      </w:r>
      <w:r>
        <w:rPr>
          <w:rFonts w:ascii="宋体" w:hAnsi="宋体"/>
          <w:sz w:val="24"/>
          <w:szCs w:val="22"/>
        </w:rPr>
        <w:t>服务期：自</w:t>
      </w:r>
      <w:r>
        <w:rPr>
          <w:rFonts w:hint="eastAsia" w:ascii="宋体" w:hAnsi="宋体"/>
          <w:sz w:val="24"/>
          <w:szCs w:val="22"/>
        </w:rPr>
        <w:t>合同签订之日</w:t>
      </w:r>
      <w:r>
        <w:rPr>
          <w:rFonts w:ascii="宋体" w:hAnsi="宋体"/>
          <w:sz w:val="24"/>
          <w:szCs w:val="22"/>
        </w:rPr>
        <w:t>起</w:t>
      </w:r>
      <w:r>
        <w:rPr>
          <w:rFonts w:hint="eastAsia" w:ascii="宋体" w:hAnsi="宋体"/>
          <w:sz w:val="24"/>
          <w:szCs w:val="22"/>
        </w:rPr>
        <w:t>至佛山电器照明股份有限公司合规管理试点工作结束（或阶段性验收完成）</w:t>
      </w:r>
      <w:r>
        <w:rPr>
          <w:rFonts w:ascii="宋体" w:hAnsi="宋体"/>
          <w:sz w:val="24"/>
          <w:szCs w:val="22"/>
        </w:rPr>
        <w:t>。</w:t>
      </w:r>
    </w:p>
    <w:p>
      <w:pPr>
        <w:spacing w:line="500" w:lineRule="exact"/>
        <w:ind w:right="25" w:rightChars="12" w:firstLine="480" w:firstLineChars="200"/>
        <w:rPr>
          <w:rFonts w:ascii="宋体" w:hAnsi="宋体"/>
          <w:sz w:val="24"/>
          <w:szCs w:val="22"/>
        </w:rPr>
      </w:pPr>
      <w:r>
        <w:rPr>
          <w:rFonts w:hint="eastAsia" w:ascii="宋体" w:hAnsi="宋体"/>
          <w:sz w:val="24"/>
          <w:szCs w:val="22"/>
        </w:rPr>
        <w:t>三、服务形式：现场服务、网络服务、电话服务相结合。</w:t>
      </w:r>
    </w:p>
    <w:p>
      <w:pPr>
        <w:spacing w:line="500" w:lineRule="exact"/>
        <w:ind w:right="25" w:rightChars="12" w:firstLine="480" w:firstLineChars="200"/>
        <w:rPr>
          <w:rFonts w:ascii="宋体" w:hAnsi="宋体"/>
          <w:sz w:val="24"/>
          <w:szCs w:val="22"/>
        </w:rPr>
      </w:pPr>
      <w:r>
        <w:rPr>
          <w:rFonts w:hint="eastAsia" w:ascii="宋体" w:hAnsi="宋体"/>
          <w:sz w:val="24"/>
          <w:szCs w:val="22"/>
        </w:rPr>
        <w:t>服务期内，供应商可根据项目实施进度合理安排现场服务、网络服务、电话服务等方式的时间，</w:t>
      </w:r>
      <w:r>
        <w:rPr>
          <w:rFonts w:hint="eastAsia" w:hAnsi="_x000B__x000C_"/>
          <w:color w:val="000000"/>
          <w:sz w:val="24"/>
        </w:rPr>
        <w:t>供应商应根据项目情况和甲方需求每周</w:t>
      </w:r>
      <w:r>
        <w:rPr>
          <w:rFonts w:hint="eastAsia" w:ascii="宋体" w:hAnsi="宋体"/>
          <w:b/>
          <w:bCs/>
          <w:sz w:val="24"/>
          <w:szCs w:val="22"/>
          <w:highlight w:val="none"/>
          <w:u w:val="single"/>
        </w:rPr>
        <w:t>提供不少于2</w:t>
      </w:r>
      <w:r>
        <w:rPr>
          <w:rFonts w:ascii="宋体" w:hAnsi="宋体"/>
          <w:b/>
          <w:bCs/>
          <w:sz w:val="24"/>
          <w:szCs w:val="22"/>
          <w:highlight w:val="none"/>
          <w:u w:val="single"/>
        </w:rPr>
        <w:t>个工作日的现场服务</w:t>
      </w:r>
      <w:r>
        <w:rPr>
          <w:rFonts w:hint="eastAsia" w:ascii="宋体" w:hAnsi="宋体"/>
          <w:b/>
          <w:bCs/>
          <w:sz w:val="24"/>
          <w:szCs w:val="22"/>
          <w:highlight w:val="none"/>
          <w:u w:val="single"/>
        </w:rPr>
        <w:t>，</w:t>
      </w:r>
      <w:r>
        <w:rPr>
          <w:rFonts w:hint="eastAsia" w:hAnsi="_x000B__x000C_"/>
          <w:color w:val="000000"/>
          <w:sz w:val="24"/>
        </w:rPr>
        <w:t>不得因驻场原因影响项目进度和合规验收</w:t>
      </w:r>
      <w:r>
        <w:rPr>
          <w:rFonts w:hint="eastAsia" w:ascii="宋体" w:hAnsi="宋体"/>
          <w:sz w:val="24"/>
          <w:szCs w:val="22"/>
        </w:rPr>
        <w:t>。项目服务期间，供应商应以现场汇报或者工作周报的形式每周汇报工作进度，如果出现未按照计划时间节点完成任务的情况，应及时与采购商进行沟通，采取有效应对措施，确保按时按质完成项目。</w:t>
      </w:r>
    </w:p>
    <w:p>
      <w:pPr>
        <w:spacing w:line="500" w:lineRule="exact"/>
        <w:ind w:right="25" w:rightChars="12" w:firstLine="480" w:firstLineChars="200"/>
        <w:rPr>
          <w:rFonts w:ascii="宋体" w:hAnsi="宋体"/>
          <w:sz w:val="24"/>
          <w:szCs w:val="22"/>
        </w:rPr>
      </w:pPr>
      <w:r>
        <w:rPr>
          <w:rFonts w:hint="eastAsia" w:ascii="宋体" w:hAnsi="宋体"/>
          <w:sz w:val="24"/>
          <w:szCs w:val="22"/>
        </w:rPr>
        <w:t>四、响应供应商须在报价文件中详细列清参与本项目服务的人员名单、资历及在项目中所负的职责，服务期内人员名单不得随意更换，特殊情形需更换的须经采购人同意后方可。</w:t>
      </w:r>
    </w:p>
    <w:p>
      <w:pPr>
        <w:spacing w:line="500" w:lineRule="exact"/>
        <w:ind w:right="25" w:rightChars="12" w:firstLine="480" w:firstLineChars="200"/>
        <w:rPr>
          <w:rFonts w:ascii="宋体" w:hAnsi="宋体"/>
          <w:sz w:val="24"/>
          <w:szCs w:val="22"/>
        </w:rPr>
      </w:pPr>
      <w:r>
        <w:rPr>
          <w:rFonts w:hint="eastAsia" w:ascii="宋体" w:hAnsi="宋体"/>
          <w:sz w:val="24"/>
          <w:szCs w:val="22"/>
        </w:rPr>
        <w:t>五、</w:t>
      </w:r>
      <w:r>
        <w:rPr>
          <w:rFonts w:ascii="宋体" w:hAnsi="宋体"/>
          <w:sz w:val="24"/>
          <w:szCs w:val="22"/>
        </w:rPr>
        <w:t>已接受委托的项目，供应商必须按照协议要求按时按质完成任务</w:t>
      </w:r>
      <w:r>
        <w:rPr>
          <w:rFonts w:hint="eastAsia" w:ascii="宋体" w:hAnsi="宋体"/>
          <w:sz w:val="24"/>
          <w:szCs w:val="22"/>
        </w:rPr>
        <w:t>，</w:t>
      </w:r>
      <w:r>
        <w:rPr>
          <w:rFonts w:ascii="宋体" w:hAnsi="宋体"/>
          <w:sz w:val="24"/>
          <w:szCs w:val="22"/>
        </w:rPr>
        <w:t>未经采购人书面同意，不得擅自将受托项目转委托</w:t>
      </w:r>
      <w:r>
        <w:rPr>
          <w:rFonts w:hint="eastAsia" w:ascii="宋体" w:hAnsi="宋体"/>
          <w:sz w:val="24"/>
          <w:szCs w:val="22"/>
        </w:rPr>
        <w:t>、转包</w:t>
      </w:r>
      <w:r>
        <w:rPr>
          <w:rFonts w:ascii="宋体" w:hAnsi="宋体"/>
          <w:sz w:val="24"/>
          <w:szCs w:val="22"/>
        </w:rPr>
        <w:t>给第三方承担。</w:t>
      </w:r>
    </w:p>
    <w:p>
      <w:pPr>
        <w:spacing w:line="500" w:lineRule="exact"/>
        <w:ind w:right="25" w:rightChars="12" w:firstLine="480" w:firstLineChars="200"/>
        <w:rPr>
          <w:rFonts w:ascii="宋体" w:hAnsi="宋体"/>
          <w:sz w:val="24"/>
          <w:szCs w:val="22"/>
        </w:rPr>
      </w:pPr>
      <w:r>
        <w:rPr>
          <w:rFonts w:hint="eastAsia" w:ascii="宋体" w:hAnsi="宋体"/>
          <w:sz w:val="24"/>
          <w:szCs w:val="22"/>
        </w:rPr>
        <w:t>六、交付成果清单</w:t>
      </w:r>
    </w:p>
    <w:p>
      <w:pPr>
        <w:spacing w:line="500" w:lineRule="exact"/>
        <w:ind w:right="25" w:rightChars="12" w:firstLine="480" w:firstLineChars="200"/>
        <w:rPr>
          <w:rFonts w:ascii="宋体" w:hAnsi="宋体"/>
          <w:sz w:val="24"/>
          <w:szCs w:val="22"/>
        </w:rPr>
      </w:pPr>
      <w:r>
        <w:rPr>
          <w:rFonts w:hint="eastAsia" w:ascii="宋体" w:hAnsi="宋体"/>
          <w:sz w:val="24"/>
          <w:szCs w:val="22"/>
        </w:rPr>
        <w:t>成交供应商合同履行过程中应按照进度交付包括但不限于以下成果：</w:t>
      </w:r>
    </w:p>
    <w:tbl>
      <w:tblPr>
        <w:tblStyle w:val="61"/>
        <w:tblW w:w="9472" w:type="dxa"/>
        <w:jc w:val="center"/>
        <w:tblInd w:w="0" w:type="dxa"/>
        <w:tblLayout w:type="fixed"/>
        <w:tblCellMar>
          <w:top w:w="15" w:type="dxa"/>
          <w:left w:w="15" w:type="dxa"/>
          <w:bottom w:w="15" w:type="dxa"/>
          <w:right w:w="15" w:type="dxa"/>
        </w:tblCellMar>
      </w:tblPr>
      <w:tblGrid>
        <w:gridCol w:w="901"/>
        <w:gridCol w:w="1566"/>
        <w:gridCol w:w="7005"/>
      </w:tblGrid>
      <w:tr>
        <w:tblPrEx>
          <w:tblLayout w:type="fixed"/>
          <w:tblCellMar>
            <w:top w:w="15" w:type="dxa"/>
            <w:left w:w="15" w:type="dxa"/>
            <w:bottom w:w="15" w:type="dxa"/>
            <w:right w:w="15" w:type="dxa"/>
          </w:tblCellMar>
        </w:tblPrEx>
        <w:trPr>
          <w:trHeight w:val="28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序号</w:t>
            </w:r>
          </w:p>
        </w:tc>
        <w:tc>
          <w:tcPr>
            <w:tcW w:w="1566"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工作成果</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包含的具体内容</w:t>
            </w:r>
          </w:p>
        </w:tc>
      </w:tr>
      <w:tr>
        <w:tblPrEx>
          <w:tblLayout w:type="fixed"/>
          <w:tblCellMar>
            <w:top w:w="15" w:type="dxa"/>
            <w:left w:w="15" w:type="dxa"/>
            <w:bottom w:w="15" w:type="dxa"/>
            <w:right w:w="15" w:type="dxa"/>
          </w:tblCellMar>
        </w:tblPrEx>
        <w:trPr>
          <w:trHeight w:val="283"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1</w:t>
            </w:r>
          </w:p>
        </w:tc>
        <w:tc>
          <w:tcPr>
            <w:tcW w:w="1566"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内部管理合规状况评价</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企业合规管理工作实施情况</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合规管理体系评价报告及管理提升建议</w:t>
            </w:r>
          </w:p>
        </w:tc>
      </w:tr>
      <w:tr>
        <w:tblPrEx>
          <w:tblLayout w:type="fixed"/>
          <w:tblCellMar>
            <w:top w:w="15" w:type="dxa"/>
            <w:left w:w="15" w:type="dxa"/>
            <w:bottom w:w="15" w:type="dxa"/>
            <w:right w:w="15" w:type="dxa"/>
          </w:tblCellMar>
        </w:tblPrEx>
        <w:trPr>
          <w:trHeight w:val="283" w:hRule="atLeast"/>
          <w:jc w:val="center"/>
        </w:trPr>
        <w:tc>
          <w:tcPr>
            <w:tcW w:w="901" w:type="dxa"/>
            <w:vMerge w:val="restart"/>
            <w:tcBorders>
              <w:top w:val="single" w:color="000000" w:sz="4" w:space="0"/>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2</w:t>
            </w:r>
          </w:p>
        </w:tc>
        <w:tc>
          <w:tcPr>
            <w:tcW w:w="1566" w:type="dxa"/>
            <w:vMerge w:val="restart"/>
            <w:tcBorders>
              <w:top w:val="single" w:color="000000" w:sz="4" w:space="0"/>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合规管理制度</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合规管理制度框架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合规管理组织体系与职责</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合规管理指引（合规管理办法），涵盖重点环节、重点领域、重点人员的合规管理框架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合规管理运行流程及相关制度</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现有制度完善修订建议书</w:t>
            </w:r>
          </w:p>
        </w:tc>
      </w:tr>
      <w:tr>
        <w:tblPrEx>
          <w:tblLayout w:type="fixed"/>
          <w:tblCellMar>
            <w:top w:w="15" w:type="dxa"/>
            <w:left w:w="15" w:type="dxa"/>
            <w:bottom w:w="15" w:type="dxa"/>
            <w:right w:w="15" w:type="dxa"/>
          </w:tblCellMar>
        </w:tblPrEx>
        <w:trPr>
          <w:trHeight w:val="283" w:hRule="atLeast"/>
          <w:jc w:val="center"/>
        </w:trPr>
        <w:tc>
          <w:tcPr>
            <w:tcW w:w="901" w:type="dxa"/>
            <w:vMerge w:val="restart"/>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3</w:t>
            </w:r>
          </w:p>
        </w:tc>
        <w:tc>
          <w:tcPr>
            <w:tcW w:w="1566"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合规风险运行管控机制</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设计核心合规风险管控流程，搭建企业合规风险数据库，建立合规风险库动态更新机制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通过建立合规依据库、合规义务库、合规风险库、合规制度库、合规指引库等方式来建设公司</w:t>
            </w:r>
            <w:r>
              <w:rPr>
                <w:rFonts w:hint="eastAsia" w:ascii="宋体" w:hAnsi="宋体"/>
                <w:sz w:val="24"/>
                <w:szCs w:val="22"/>
                <w:highlight w:val="none"/>
              </w:rPr>
              <w:t>至少3个重</w:t>
            </w:r>
            <w:r>
              <w:rPr>
                <w:rFonts w:hint="eastAsia" w:ascii="宋体" w:hAnsi="宋体"/>
                <w:sz w:val="24"/>
                <w:szCs w:val="22"/>
              </w:rPr>
              <w:t>点合规领域</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合规管理风险清单及岗位人员合规风险清单，合规风险识别预警机制，出具风险应对方案</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建立合规审查机制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建立合规联席会议机制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健全违规问责与容错免责机制、合规管理评估机制</w:t>
            </w:r>
          </w:p>
        </w:tc>
      </w:tr>
      <w:tr>
        <w:tblPrEx>
          <w:tblLayout w:type="fixed"/>
          <w:tblCellMar>
            <w:top w:w="15" w:type="dxa"/>
            <w:left w:w="15" w:type="dxa"/>
            <w:bottom w:w="15" w:type="dxa"/>
            <w:right w:w="15" w:type="dxa"/>
          </w:tblCellMar>
        </w:tblPrEx>
        <w:trPr>
          <w:trHeight w:val="283"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4</w:t>
            </w:r>
          </w:p>
        </w:tc>
        <w:tc>
          <w:tcPr>
            <w:tcW w:w="1566"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合规保障机制</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建立合规考核评价制度</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建立激励约束机制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合规管理机构和人员设置建议</w:t>
            </w:r>
          </w:p>
        </w:tc>
      </w:tr>
      <w:tr>
        <w:tblPrEx>
          <w:tblLayout w:type="fixed"/>
          <w:tblCellMar>
            <w:top w:w="15" w:type="dxa"/>
            <w:left w:w="15" w:type="dxa"/>
            <w:bottom w:w="15" w:type="dxa"/>
            <w:right w:w="15" w:type="dxa"/>
          </w:tblCellMar>
        </w:tblPrEx>
        <w:trPr>
          <w:trHeight w:val="283"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5</w:t>
            </w:r>
          </w:p>
        </w:tc>
        <w:tc>
          <w:tcPr>
            <w:tcW w:w="1566"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合规培训与文化</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介绍国内外合规管理优秀经验、前沿技术等</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开展集团内部理论分享、外部企业之间的优秀实践分享</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开展合规管理实务操作，传授实战工作经验与方法</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合规管理宣贯，搭建企业合规文化</w:t>
            </w:r>
          </w:p>
        </w:tc>
      </w:tr>
      <w:tr>
        <w:tblPrEx>
          <w:tblLayout w:type="fixed"/>
          <w:tblCellMar>
            <w:top w:w="15" w:type="dxa"/>
            <w:left w:w="15" w:type="dxa"/>
            <w:bottom w:w="15" w:type="dxa"/>
            <w:right w:w="15" w:type="dxa"/>
          </w:tblCellMar>
        </w:tblPrEx>
        <w:trPr>
          <w:trHeight w:val="28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6</w:t>
            </w:r>
          </w:p>
        </w:tc>
        <w:tc>
          <w:tcPr>
            <w:tcW w:w="1566"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三位一体管理体系</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梳理合规体系与其他现有体系之间的关系，分析比较法务、合规、风控、内控等系统趋同性，提出一体化制度建设方案，整合流程、表单、手册，搭建协同联动的管理体系</w:t>
            </w:r>
          </w:p>
        </w:tc>
      </w:tr>
      <w:tr>
        <w:tblPrEx>
          <w:tblLayout w:type="fixed"/>
          <w:tblCellMar>
            <w:top w:w="15" w:type="dxa"/>
            <w:left w:w="15" w:type="dxa"/>
            <w:bottom w:w="15" w:type="dxa"/>
            <w:right w:w="15" w:type="dxa"/>
          </w:tblCellMar>
        </w:tblPrEx>
        <w:trPr>
          <w:trHeight w:val="283"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7</w:t>
            </w:r>
          </w:p>
        </w:tc>
        <w:tc>
          <w:tcPr>
            <w:tcW w:w="1566"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合规风险管理手册</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梳理甲方业务领域相关法律法规、部门规章、政策性文件等</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搭建企业合规风险框架</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提示业务环节合规风险，编制风险应对方案</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合规重点领域的相关关键业务流程图</w:t>
            </w:r>
          </w:p>
        </w:tc>
      </w:tr>
      <w:tr>
        <w:tblPrEx>
          <w:tblLayout w:type="fixed"/>
          <w:tblCellMar>
            <w:top w:w="15" w:type="dxa"/>
            <w:left w:w="15" w:type="dxa"/>
            <w:bottom w:w="15" w:type="dxa"/>
            <w:right w:w="15" w:type="dxa"/>
          </w:tblCellMar>
        </w:tblPrEx>
        <w:trPr>
          <w:trHeight w:val="283"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566"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流程缺陷改善管理</w:t>
            </w:r>
          </w:p>
        </w:tc>
      </w:tr>
      <w:tr>
        <w:tblPrEx>
          <w:tblLayout w:type="fixed"/>
          <w:tblCellMar>
            <w:top w:w="15" w:type="dxa"/>
            <w:left w:w="15" w:type="dxa"/>
            <w:bottom w:w="15" w:type="dxa"/>
            <w:right w:w="15" w:type="dxa"/>
          </w:tblCellMar>
        </w:tblPrEx>
        <w:trPr>
          <w:trHeight w:val="28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highlight w:val="none"/>
              </w:rPr>
            </w:pPr>
            <w:r>
              <w:rPr>
                <w:rFonts w:hint="eastAsia" w:ascii="宋体" w:hAnsi="宋体"/>
                <w:sz w:val="24"/>
                <w:szCs w:val="22"/>
                <w:highlight w:val="none"/>
              </w:rPr>
              <w:t>8</w:t>
            </w:r>
          </w:p>
        </w:tc>
        <w:tc>
          <w:tcPr>
            <w:tcW w:w="1566"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highlight w:val="none"/>
              </w:rPr>
            </w:pPr>
            <w:r>
              <w:rPr>
                <w:rFonts w:hint="eastAsia" w:ascii="宋体" w:hAnsi="宋体"/>
                <w:sz w:val="24"/>
                <w:szCs w:val="22"/>
                <w:highlight w:val="none"/>
              </w:rPr>
              <w:t>项目成果</w:t>
            </w:r>
          </w:p>
        </w:tc>
        <w:tc>
          <w:tcPr>
            <w:tcW w:w="7005"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highlight w:val="none"/>
              </w:rPr>
            </w:pPr>
            <w:r>
              <w:rPr>
                <w:rFonts w:hint="eastAsia" w:ascii="宋体" w:hAnsi="宋体"/>
                <w:sz w:val="24"/>
                <w:szCs w:val="22"/>
                <w:highlight w:val="none"/>
              </w:rPr>
              <w:t>企业合规管理建设总体报告</w:t>
            </w:r>
          </w:p>
        </w:tc>
      </w:tr>
    </w:tbl>
    <w:p>
      <w:pPr>
        <w:numPr>
          <w:ilvl w:val="0"/>
          <w:numId w:val="32"/>
        </w:numPr>
        <w:spacing w:line="360" w:lineRule="auto"/>
        <w:ind w:firstLine="426"/>
        <w:rPr>
          <w:rFonts w:ascii="宋体" w:hAnsi="宋体"/>
          <w:sz w:val="24"/>
          <w:szCs w:val="24"/>
          <w:highlight w:val="none"/>
        </w:rPr>
      </w:pPr>
      <w:r>
        <w:rPr>
          <w:rFonts w:hint="eastAsia" w:ascii="宋体" w:hAnsi="宋体"/>
          <w:sz w:val="24"/>
          <w:szCs w:val="24"/>
          <w:highlight w:val="none"/>
        </w:rPr>
        <w:t>项目报价及付款方式：</w:t>
      </w:r>
    </w:p>
    <w:p>
      <w:pPr>
        <w:spacing w:line="360" w:lineRule="auto"/>
        <w:ind w:firstLine="482" w:firstLineChars="200"/>
        <w:rPr>
          <w:rFonts w:ascii="宋体" w:hAnsi="宋体"/>
          <w:sz w:val="24"/>
          <w:szCs w:val="24"/>
        </w:rPr>
      </w:pPr>
      <w:r>
        <w:rPr>
          <w:rFonts w:hint="eastAsia" w:ascii="宋体" w:hAnsi="宋体"/>
          <w:b/>
          <w:bCs/>
          <w:sz w:val="24"/>
          <w:szCs w:val="24"/>
          <w:highlight w:val="none"/>
          <w:u w:val="single"/>
        </w:rPr>
        <w:t>项目报价为</w:t>
      </w:r>
      <w:r>
        <w:rPr>
          <w:rFonts w:hint="eastAsia" w:ascii="宋体" w:hAnsi="宋体"/>
          <w:sz w:val="24"/>
          <w:szCs w:val="24"/>
          <w:highlight w:val="none"/>
        </w:rPr>
        <w:t>为总价包干价格，</w:t>
      </w:r>
      <w:r>
        <w:rPr>
          <w:rFonts w:hint="eastAsia" w:ascii="宋体" w:hAnsi="宋体"/>
          <w:sz w:val="24"/>
          <w:szCs w:val="24"/>
        </w:rPr>
        <w:t>即包括完成本项目工作所需的人工、交通、住宿、餐饮、资料等各项杂费以及税费。</w:t>
      </w:r>
    </w:p>
    <w:p>
      <w:pPr>
        <w:spacing w:line="360" w:lineRule="auto"/>
        <w:ind w:firstLine="480" w:firstLineChars="200"/>
        <w:rPr>
          <w:rFonts w:ascii="宋体" w:hAnsi="宋体"/>
          <w:sz w:val="24"/>
          <w:szCs w:val="24"/>
        </w:rPr>
      </w:pPr>
      <w:r>
        <w:rPr>
          <w:rFonts w:hint="eastAsia" w:ascii="宋体" w:hAnsi="宋体"/>
          <w:sz w:val="24"/>
          <w:szCs w:val="24"/>
        </w:rPr>
        <w:t>采购人将按照项目进度分期付款，其中：</w:t>
      </w:r>
    </w:p>
    <w:p>
      <w:pPr>
        <w:spacing w:line="360" w:lineRule="auto"/>
        <w:ind w:firstLine="480" w:firstLineChars="200"/>
        <w:rPr>
          <w:rFonts w:ascii="宋体" w:hAnsi="宋体"/>
          <w:sz w:val="24"/>
          <w:szCs w:val="24"/>
        </w:rPr>
      </w:pPr>
      <w:r>
        <w:rPr>
          <w:rFonts w:hint="eastAsia" w:ascii="宋体" w:hAnsi="宋体"/>
          <w:sz w:val="24"/>
          <w:szCs w:val="24"/>
        </w:rPr>
        <w:t>1.成交供应商合同签订且相应人员开始启动工作，支付不超过合同总价的25%。</w:t>
      </w:r>
    </w:p>
    <w:p>
      <w:pPr>
        <w:spacing w:line="360" w:lineRule="auto"/>
        <w:ind w:firstLine="480" w:firstLineChars="200"/>
        <w:rPr>
          <w:rFonts w:ascii="宋体" w:hAnsi="宋体"/>
          <w:sz w:val="24"/>
          <w:szCs w:val="24"/>
        </w:rPr>
      </w:pPr>
      <w:r>
        <w:rPr>
          <w:rFonts w:hint="eastAsia" w:ascii="宋体" w:hAnsi="宋体"/>
          <w:sz w:val="24"/>
          <w:szCs w:val="24"/>
        </w:rPr>
        <w:t>2.2021 年10 月 1日且成交供应商按推进进度完成相关工作后，支付不超过合同总价的25%。</w:t>
      </w:r>
    </w:p>
    <w:p>
      <w:pPr>
        <w:spacing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完成全部工作成果、交付全部成果后，付清合同剩余款项。</w:t>
      </w:r>
    </w:p>
    <w:p>
      <w:pPr>
        <w:spacing w:line="360" w:lineRule="auto"/>
        <w:ind w:firstLine="482" w:firstLineChars="200"/>
        <w:rPr>
          <w:rFonts w:ascii="宋体" w:hAnsi="宋体"/>
          <w:b/>
          <w:bCs/>
          <w:sz w:val="24"/>
          <w:szCs w:val="24"/>
          <w:u w:val="single"/>
        </w:rPr>
      </w:pPr>
      <w:r>
        <w:rPr>
          <w:rFonts w:hint="eastAsia" w:ascii="宋体" w:hAnsi="宋体"/>
          <w:b/>
          <w:bCs/>
          <w:sz w:val="24"/>
          <w:szCs w:val="24"/>
          <w:u w:val="single"/>
        </w:rPr>
        <w:t>采购人接受优于以上条件的付款方式。</w:t>
      </w:r>
    </w:p>
    <w:p>
      <w:pPr>
        <w:spacing w:line="360" w:lineRule="auto"/>
        <w:ind w:firstLine="482" w:firstLineChars="200"/>
        <w:rPr>
          <w:rFonts w:ascii="宋体" w:hAnsi="宋体"/>
          <w:b/>
          <w:bCs/>
          <w:sz w:val="24"/>
          <w:szCs w:val="24"/>
          <w:u w:val="single"/>
        </w:rPr>
      </w:pPr>
      <w:r>
        <w:rPr>
          <w:rFonts w:hint="eastAsia" w:ascii="宋体" w:hAnsi="宋体"/>
          <w:b/>
          <w:bCs/>
          <w:sz w:val="24"/>
          <w:szCs w:val="24"/>
          <w:u w:val="single"/>
        </w:rPr>
        <w:t>八、成交供应商可根据合规管理要求，结合公司实际，在以上需求内容外，增加新的服务内容、交付成果等。</w:t>
      </w:r>
    </w:p>
    <w:p>
      <w:pPr>
        <w:pStyle w:val="4"/>
        <w:jc w:val="center"/>
        <w:rPr>
          <w:sz w:val="36"/>
          <w:szCs w:val="36"/>
        </w:rPr>
      </w:pPr>
      <w:bookmarkStart w:id="275" w:name="_Toc479340792"/>
      <w:bookmarkStart w:id="276" w:name="_Toc479325595"/>
      <w:bookmarkStart w:id="277" w:name="_Toc422161995"/>
      <w:bookmarkStart w:id="278" w:name="_Toc8109"/>
      <w:bookmarkStart w:id="279" w:name="_Toc487044255"/>
      <w:bookmarkStart w:id="280" w:name="_Toc438513737"/>
      <w:bookmarkStart w:id="281" w:name="_Toc416208489"/>
      <w:bookmarkStart w:id="282" w:name="_Toc438508600"/>
      <w:bookmarkStart w:id="283" w:name="_Toc418023336"/>
      <w:bookmarkStart w:id="284" w:name="_Toc425347665"/>
      <w:bookmarkStart w:id="285" w:name="_Toc477879843"/>
      <w:bookmarkStart w:id="286" w:name="_Toc470184444"/>
      <w:bookmarkStart w:id="287" w:name="_Toc458980396"/>
      <w:bookmarkStart w:id="288" w:name="_Toc458635599"/>
      <w:bookmarkStart w:id="289" w:name="_Toc495584537"/>
      <w:bookmarkStart w:id="290" w:name="_Toc414510783"/>
      <w:bookmarkStart w:id="291" w:name="_Toc495671512"/>
      <w:bookmarkStart w:id="292" w:name="_Toc358307751"/>
      <w:bookmarkStart w:id="293" w:name="_Toc497153697"/>
      <w:bookmarkStart w:id="294" w:name="_Toc496649744"/>
      <w:bookmarkStart w:id="295" w:name="_Toc422865424"/>
      <w:bookmarkStart w:id="296" w:name="_Toc507139966"/>
      <w:bookmarkStart w:id="297" w:name="_Toc439513448"/>
      <w:bookmarkStart w:id="298" w:name="_Toc505772864"/>
      <w:bookmarkStart w:id="299" w:name="_Toc438722133"/>
      <w:bookmarkStart w:id="300" w:name="_Toc507250908"/>
      <w:bookmarkStart w:id="301" w:name="_Toc486969382"/>
      <w:bookmarkStart w:id="302" w:name="_Toc498541540"/>
      <w:bookmarkStart w:id="303" w:name="_Toc495653143"/>
      <w:bookmarkStart w:id="304" w:name="_Toc439679271"/>
      <w:bookmarkStart w:id="305" w:name="_Toc273342935"/>
      <w:bookmarkStart w:id="306" w:name="_Toc439513164"/>
      <w:bookmarkStart w:id="307" w:name="_Toc495949934"/>
      <w:bookmarkStart w:id="308" w:name="_Toc496615952"/>
      <w:bookmarkStart w:id="309" w:name="_Toc507146617"/>
      <w:bookmarkStart w:id="310" w:name="_Toc369081822"/>
      <w:r>
        <w:rPr>
          <w:rFonts w:hint="eastAsia"/>
          <w:sz w:val="28"/>
          <w:szCs w:val="28"/>
        </w:rPr>
        <w:br w:type="page"/>
      </w:r>
      <w:r>
        <w:rPr>
          <w:rFonts w:hint="eastAsia"/>
          <w:sz w:val="36"/>
          <w:szCs w:val="36"/>
        </w:rPr>
        <w:t>第四部分 评审文件</w:t>
      </w:r>
    </w:p>
    <w:p>
      <w:pPr>
        <w:pStyle w:val="4"/>
        <w:jc w:val="center"/>
        <w:rPr>
          <w:sz w:val="28"/>
          <w:szCs w:val="28"/>
        </w:rPr>
      </w:pPr>
      <w:r>
        <w:rPr>
          <w:rFonts w:hint="eastAsia"/>
          <w:sz w:val="28"/>
          <w:szCs w:val="28"/>
        </w:rPr>
        <w:t>评审</w:t>
      </w:r>
      <w:r>
        <w:rPr>
          <w:sz w:val="28"/>
          <w:szCs w:val="28"/>
        </w:rPr>
        <w:t>文件</w:t>
      </w:r>
    </w:p>
    <w:p>
      <w:pPr>
        <w:pStyle w:val="4"/>
        <w:rPr>
          <w:sz w:val="28"/>
          <w:szCs w:val="28"/>
        </w:rPr>
      </w:pPr>
      <w:r>
        <w:rPr>
          <w:rFonts w:hint="eastAsia"/>
          <w:sz w:val="28"/>
          <w:szCs w:val="28"/>
        </w:rPr>
        <w:t>1、说明</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spacing w:line="560" w:lineRule="exact"/>
        <w:ind w:firstLine="480" w:firstLineChars="200"/>
        <w:rPr>
          <w:rFonts w:ascii="宋体" w:hAnsi="宋体"/>
          <w:sz w:val="24"/>
          <w:szCs w:val="24"/>
        </w:rPr>
      </w:pPr>
      <w:r>
        <w:rPr>
          <w:rFonts w:hint="eastAsia" w:ascii="宋体"/>
          <w:sz w:val="24"/>
          <w:szCs w:val="24"/>
        </w:rPr>
        <w:t>根据</w:t>
      </w:r>
      <w:r>
        <w:rPr>
          <w:rFonts w:hint="eastAsia" w:ascii="宋体" w:hAnsi="宋体"/>
          <w:sz w:val="24"/>
        </w:rPr>
        <w:t>《佛山电器照明股份有限公司招标和非招标采购管理办法（试行）</w:t>
      </w:r>
      <w:r>
        <w:rPr>
          <w:rFonts w:ascii="宋体" w:hAnsi="宋体"/>
          <w:sz w:val="24"/>
        </w:rPr>
        <w:t>》</w:t>
      </w:r>
      <w:r>
        <w:rPr>
          <w:rFonts w:hint="eastAsia" w:ascii="宋体"/>
          <w:sz w:val="24"/>
          <w:szCs w:val="24"/>
        </w:rPr>
        <w:t>和国家及地方服务采购有关文件精神，在保证项目公开、公平、公正的基础上，结合需求，由佛山电器照明股份有限</w:t>
      </w:r>
      <w:r>
        <w:rPr>
          <w:rFonts w:ascii="宋体" w:hAnsi="宋体"/>
          <w:sz w:val="24"/>
          <w:szCs w:val="24"/>
        </w:rPr>
        <w:t>公司</w:t>
      </w:r>
      <w:r>
        <w:rPr>
          <w:rFonts w:hint="eastAsia" w:ascii="宋体"/>
          <w:sz w:val="24"/>
          <w:szCs w:val="24"/>
        </w:rPr>
        <w:t>制定本评审文件。内容包括本次评审的评审过程和方法。</w:t>
      </w:r>
    </w:p>
    <w:p>
      <w:pPr>
        <w:pStyle w:val="4"/>
        <w:rPr>
          <w:sz w:val="28"/>
          <w:szCs w:val="28"/>
        </w:rPr>
      </w:pPr>
      <w:bookmarkStart w:id="311" w:name="_Toc414510787"/>
      <w:bookmarkStart w:id="312" w:name="_Toc507146621"/>
      <w:bookmarkStart w:id="313" w:name="_Toc116924486"/>
      <w:bookmarkStart w:id="314" w:name="_Toc470184448"/>
      <w:bookmarkStart w:id="315" w:name="_Toc458980400"/>
      <w:bookmarkStart w:id="316" w:name="_Toc277154673"/>
      <w:bookmarkStart w:id="317" w:name="_Toc425347669"/>
      <w:bookmarkStart w:id="318" w:name="_Toc7451"/>
      <w:bookmarkStart w:id="319" w:name="_Toc439513452"/>
      <w:bookmarkStart w:id="320" w:name="_Toc116981030"/>
      <w:bookmarkStart w:id="321" w:name="_Toc495653147"/>
      <w:bookmarkStart w:id="322" w:name="_Toc439513168"/>
      <w:bookmarkStart w:id="323" w:name="_Toc479325599"/>
      <w:bookmarkStart w:id="324" w:name="_Toc109467929"/>
      <w:bookmarkStart w:id="325" w:name="_Toc369081825"/>
      <w:bookmarkStart w:id="326" w:name="_Toc107385316"/>
      <w:bookmarkStart w:id="327" w:name="_Toc486969386"/>
      <w:bookmarkStart w:id="328" w:name="_Toc495671516"/>
      <w:bookmarkStart w:id="329" w:name="_Toc272394436"/>
      <w:bookmarkStart w:id="330" w:name="_Toc262564643"/>
      <w:bookmarkStart w:id="331" w:name="_Toc116976130"/>
      <w:bookmarkStart w:id="332" w:name="_Toc330545477"/>
      <w:bookmarkStart w:id="333" w:name="_Toc498541544"/>
      <w:bookmarkStart w:id="334" w:name="_Toc438508604"/>
      <w:bookmarkStart w:id="335" w:name="_Toc497153701"/>
      <w:bookmarkStart w:id="336" w:name="_Toc477879847"/>
      <w:bookmarkStart w:id="337" w:name="_Toc416208493"/>
      <w:bookmarkStart w:id="338" w:name="_Toc438513741"/>
      <w:bookmarkStart w:id="339" w:name="_Toc495949938"/>
      <w:bookmarkStart w:id="340" w:name="_Toc107383644"/>
      <w:bookmarkStart w:id="341" w:name="_Toc479340796"/>
      <w:bookmarkStart w:id="342" w:name="_Toc418023340"/>
      <w:bookmarkStart w:id="343" w:name="_Toc438722137"/>
      <w:bookmarkStart w:id="344" w:name="_Toc267904313"/>
      <w:bookmarkStart w:id="345" w:name="_Toc487044259"/>
      <w:bookmarkStart w:id="346" w:name="_Toc507250912"/>
      <w:bookmarkStart w:id="347" w:name="_Toc507139970"/>
      <w:bookmarkStart w:id="348" w:name="_Toc265700488"/>
      <w:bookmarkStart w:id="349" w:name="_Toc505772868"/>
      <w:bookmarkStart w:id="350" w:name="_Toc107460009"/>
      <w:bookmarkStart w:id="351" w:name="_Toc358307754"/>
      <w:bookmarkStart w:id="352" w:name="_Toc495584541"/>
      <w:bookmarkStart w:id="353" w:name="_Toc496615956"/>
      <w:bookmarkStart w:id="354" w:name="_Toc496649748"/>
      <w:bookmarkStart w:id="355" w:name="_Toc439679275"/>
      <w:bookmarkStart w:id="356" w:name="_Toc61327435"/>
      <w:bookmarkStart w:id="357" w:name="_Toc422865428"/>
      <w:bookmarkStart w:id="358" w:name="_Toc422161999"/>
      <w:bookmarkStart w:id="359" w:name="_Toc122420764"/>
      <w:bookmarkStart w:id="360" w:name="_Toc458635603"/>
      <w:r>
        <w:rPr>
          <w:sz w:val="28"/>
          <w:szCs w:val="28"/>
        </w:rPr>
        <w:t>2</w:t>
      </w:r>
      <w:r>
        <w:rPr>
          <w:rFonts w:hint="eastAsia"/>
          <w:sz w:val="28"/>
          <w:szCs w:val="28"/>
        </w:rPr>
        <w:t>、评审方法及流程</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pPr>
        <w:spacing w:line="360" w:lineRule="auto"/>
        <w:ind w:left="539"/>
        <w:rPr>
          <w:rFonts w:ascii="宋体" w:hAnsi="宋体"/>
          <w:sz w:val="24"/>
        </w:rPr>
      </w:pPr>
      <w:r>
        <w:rPr>
          <w:rFonts w:hint="eastAsia" w:ascii="宋体" w:hAnsi="宋体"/>
          <w:sz w:val="24"/>
        </w:rPr>
        <w:t>本次比选的评审方法采用</w:t>
      </w:r>
      <w:r>
        <w:rPr>
          <w:rFonts w:hint="eastAsia" w:ascii="宋体" w:hAnsi="宋体"/>
          <w:b/>
          <w:sz w:val="24"/>
        </w:rPr>
        <w:t>综合评分</w:t>
      </w:r>
      <w:r>
        <w:rPr>
          <w:rFonts w:hint="eastAsia" w:ascii="宋体" w:hAnsi="宋体"/>
          <w:sz w:val="24"/>
        </w:rPr>
        <w:t>方法。具体方法及流程如下：</w:t>
      </w:r>
    </w:p>
    <w:p>
      <w:pPr>
        <w:spacing w:line="360" w:lineRule="auto"/>
        <w:outlineLvl w:val="3"/>
        <w:rPr>
          <w:b/>
          <w:bCs/>
        </w:rPr>
      </w:pPr>
      <w:bookmarkStart w:id="361" w:name="_Toc61327436"/>
      <w:r>
        <w:rPr>
          <w:rFonts w:ascii="宋体" w:hAnsi="宋体"/>
          <w:b/>
          <w:bCs/>
          <w:sz w:val="24"/>
        </w:rPr>
        <w:t>2</w:t>
      </w:r>
      <w:r>
        <w:rPr>
          <w:rFonts w:hint="eastAsia" w:ascii="宋体" w:hAnsi="宋体"/>
          <w:b/>
          <w:bCs/>
          <w:sz w:val="24"/>
        </w:rPr>
        <w:t>.1</w:t>
      </w:r>
      <w:bookmarkEnd w:id="361"/>
      <w:r>
        <w:rPr>
          <w:rFonts w:hint="eastAsia" w:ascii="宋体" w:hAnsi="宋体"/>
          <w:b/>
          <w:bCs/>
          <w:sz w:val="24"/>
        </w:rPr>
        <w:t>评审</w:t>
      </w:r>
    </w:p>
    <w:p>
      <w:pPr>
        <w:tabs>
          <w:tab w:val="left" w:pos="735"/>
          <w:tab w:val="left" w:pos="1571"/>
        </w:tabs>
        <w:spacing w:line="360" w:lineRule="auto"/>
        <w:ind w:left="734" w:right="-120" w:hanging="734" w:hangingChars="306"/>
        <w:rPr>
          <w:rFonts w:ascii="宋体" w:hAnsi="宋体"/>
          <w:sz w:val="24"/>
        </w:rPr>
      </w:pPr>
      <w:bookmarkStart w:id="362" w:name="_Toc61327437"/>
      <w:r>
        <w:rPr>
          <w:rFonts w:ascii="宋体" w:hAnsi="宋体"/>
          <w:sz w:val="24"/>
        </w:rPr>
        <w:t>2</w:t>
      </w:r>
      <w:r>
        <w:rPr>
          <w:rFonts w:hint="eastAsia" w:ascii="宋体" w:hAnsi="宋体"/>
          <w:sz w:val="24"/>
        </w:rPr>
        <w:t>.1.1本次评审在比选文件确定的时间及地点进行。</w:t>
      </w:r>
    </w:p>
    <w:p>
      <w:pPr>
        <w:tabs>
          <w:tab w:val="left" w:pos="735"/>
          <w:tab w:val="left" w:pos="1571"/>
        </w:tabs>
        <w:spacing w:line="360" w:lineRule="auto"/>
        <w:ind w:left="734" w:right="-120" w:hanging="734" w:hangingChars="306"/>
        <w:rPr>
          <w:rFonts w:ascii="宋体" w:hAnsi="宋体"/>
          <w:sz w:val="24"/>
        </w:rPr>
      </w:pPr>
      <w:r>
        <w:rPr>
          <w:rFonts w:ascii="宋体" w:hAnsi="宋体"/>
          <w:sz w:val="24"/>
        </w:rPr>
        <w:t>2</w:t>
      </w:r>
      <w:r>
        <w:rPr>
          <w:rFonts w:hint="eastAsia" w:ascii="宋体" w:hAnsi="宋体"/>
          <w:sz w:val="24"/>
        </w:rPr>
        <w:t>.1.</w:t>
      </w:r>
      <w:r>
        <w:rPr>
          <w:rFonts w:ascii="宋体" w:hAnsi="宋体"/>
          <w:sz w:val="24"/>
        </w:rPr>
        <w:t>2</w:t>
      </w:r>
      <w:r>
        <w:rPr>
          <w:rFonts w:hint="eastAsia" w:ascii="宋体" w:hAnsi="宋体"/>
          <w:sz w:val="24"/>
        </w:rPr>
        <w:t>评审时，由评审代表检查所有报价文件的密封情况。经确认无误后，由工作人员当众拆封，宣读响应供应商名称、报价等评审一览表的内容。</w:t>
      </w:r>
    </w:p>
    <w:p>
      <w:pPr>
        <w:tabs>
          <w:tab w:val="left" w:pos="735"/>
          <w:tab w:val="left" w:pos="1571"/>
        </w:tabs>
        <w:spacing w:line="360" w:lineRule="auto"/>
        <w:ind w:left="734" w:right="-120" w:hanging="734" w:hangingChars="306"/>
        <w:rPr>
          <w:rFonts w:ascii="宋体" w:hAnsi="宋体"/>
          <w:sz w:val="24"/>
        </w:rPr>
      </w:pPr>
      <w:r>
        <w:rPr>
          <w:rFonts w:ascii="宋体" w:hAnsi="宋体"/>
          <w:sz w:val="24"/>
        </w:rPr>
        <w:t>2</w:t>
      </w:r>
      <w:r>
        <w:rPr>
          <w:rFonts w:hint="eastAsia" w:ascii="宋体" w:hAnsi="宋体"/>
          <w:sz w:val="24"/>
        </w:rPr>
        <w:t>.1.</w:t>
      </w:r>
      <w:r>
        <w:rPr>
          <w:rFonts w:ascii="宋体" w:hAnsi="宋体"/>
          <w:sz w:val="24"/>
        </w:rPr>
        <w:t>3</w:t>
      </w:r>
      <w:r>
        <w:rPr>
          <w:rFonts w:hint="eastAsia" w:ascii="宋体" w:hAnsi="宋体"/>
          <w:sz w:val="24"/>
        </w:rPr>
        <w:t>在比选文件要求提交报价文件的截止时间前收到的所有报价文件，评审时均当众予以拆封、宣读。</w:t>
      </w:r>
    </w:p>
    <w:p>
      <w:pPr>
        <w:spacing w:line="360" w:lineRule="auto"/>
        <w:outlineLvl w:val="3"/>
        <w:rPr>
          <w:b/>
          <w:bCs/>
        </w:rPr>
      </w:pPr>
      <w:r>
        <w:rPr>
          <w:rFonts w:ascii="宋体" w:hAnsi="宋体"/>
          <w:b/>
          <w:bCs/>
          <w:sz w:val="24"/>
        </w:rPr>
        <w:t>2</w:t>
      </w:r>
      <w:r>
        <w:rPr>
          <w:rFonts w:hint="eastAsia" w:ascii="宋体" w:hAnsi="宋体"/>
          <w:b/>
          <w:bCs/>
          <w:sz w:val="24"/>
        </w:rPr>
        <w:t>.2</w:t>
      </w:r>
      <w:bookmarkEnd w:id="362"/>
      <w:r>
        <w:rPr>
          <w:rFonts w:hint="eastAsia" w:ascii="宋体" w:hAnsi="宋体"/>
          <w:b/>
          <w:bCs/>
          <w:sz w:val="24"/>
        </w:rPr>
        <w:t>评审</w:t>
      </w:r>
    </w:p>
    <w:p>
      <w:pPr>
        <w:spacing w:line="360" w:lineRule="auto"/>
        <w:ind w:firstLine="480" w:firstLineChars="200"/>
        <w:rPr>
          <w:rFonts w:ascii="宋体" w:hAnsi="宋体"/>
          <w:sz w:val="24"/>
        </w:rPr>
      </w:pPr>
      <w:r>
        <w:rPr>
          <w:rFonts w:hint="eastAsia" w:ascii="宋体" w:hAnsi="宋体"/>
          <w:sz w:val="24"/>
        </w:rPr>
        <w:t>评审分阶段进行：</w:t>
      </w:r>
      <w:r>
        <w:rPr>
          <w:rFonts w:hint="eastAsia" w:ascii="宋体" w:hAnsi="宋体"/>
          <w:b/>
          <w:sz w:val="24"/>
        </w:rPr>
        <w:t>报价文件资格审查、符合性审查和报价文件详细评审</w:t>
      </w:r>
      <w:r>
        <w:rPr>
          <w:rFonts w:hint="eastAsia" w:ascii="宋体" w:hAnsi="宋体"/>
          <w:sz w:val="24"/>
        </w:rPr>
        <w:t>。</w:t>
      </w:r>
    </w:p>
    <w:p>
      <w:pPr>
        <w:pStyle w:val="23"/>
        <w:spacing w:line="360" w:lineRule="auto"/>
        <w:ind w:firstLine="0" w:firstLineChars="0"/>
        <w:rPr>
          <w:rFonts w:ascii="宋体" w:eastAsia="宋体"/>
          <w:sz w:val="24"/>
        </w:rPr>
      </w:pPr>
      <w:r>
        <w:rPr>
          <w:rFonts w:ascii="宋体" w:eastAsia="宋体"/>
          <w:b/>
          <w:bCs/>
          <w:sz w:val="24"/>
        </w:rPr>
        <w:t>2</w:t>
      </w:r>
      <w:r>
        <w:rPr>
          <w:rFonts w:hint="eastAsia" w:ascii="宋体" w:eastAsia="宋体"/>
          <w:b/>
          <w:bCs/>
          <w:sz w:val="24"/>
        </w:rPr>
        <w:t>.2.1 报价文件资格性审查</w:t>
      </w:r>
    </w:p>
    <w:p>
      <w:pPr>
        <w:spacing w:line="360" w:lineRule="auto"/>
        <w:ind w:firstLine="480" w:firstLineChars="200"/>
        <w:rPr>
          <w:rFonts w:ascii="宋体" w:hAnsi="宋体"/>
          <w:sz w:val="24"/>
        </w:rPr>
      </w:pPr>
      <w:r>
        <w:rPr>
          <w:rFonts w:hint="eastAsia" w:ascii="宋体" w:hAnsi="宋体"/>
          <w:sz w:val="24"/>
        </w:rPr>
        <w:t>资格审查：采购人应当依法对响应供应商的资格进行审查。对初步被认定为资格审查不合格的，应实行及时告知报价当事人，以让其核证、澄清事实。未通过资格审查的响应供应商，不进入符合性审查。</w:t>
      </w:r>
      <w:bookmarkStart w:id="363" w:name="_Toc107383645"/>
      <w:bookmarkStart w:id="364" w:name="_Toc61327438"/>
    </w:p>
    <w:p>
      <w:pPr>
        <w:pStyle w:val="23"/>
        <w:spacing w:line="360" w:lineRule="auto"/>
        <w:ind w:firstLine="0" w:firstLineChars="0"/>
        <w:rPr>
          <w:rFonts w:ascii="宋体" w:eastAsia="宋体"/>
          <w:sz w:val="24"/>
        </w:rPr>
      </w:pPr>
      <w:r>
        <w:rPr>
          <w:rFonts w:ascii="宋体" w:eastAsia="宋体"/>
          <w:b/>
          <w:bCs/>
          <w:sz w:val="24"/>
        </w:rPr>
        <w:t>2</w:t>
      </w:r>
      <w:r>
        <w:rPr>
          <w:rFonts w:hint="eastAsia" w:ascii="宋体" w:eastAsia="宋体"/>
          <w:b/>
          <w:bCs/>
          <w:sz w:val="24"/>
        </w:rPr>
        <w:t>.2.2 报价文件</w:t>
      </w:r>
      <w:bookmarkEnd w:id="363"/>
      <w:bookmarkEnd w:id="364"/>
      <w:r>
        <w:rPr>
          <w:rFonts w:hint="eastAsia" w:ascii="宋体" w:eastAsia="宋体"/>
          <w:b/>
          <w:bCs/>
          <w:sz w:val="24"/>
        </w:rPr>
        <w:t>符合性审查</w:t>
      </w:r>
    </w:p>
    <w:p>
      <w:pPr>
        <w:spacing w:line="360" w:lineRule="auto"/>
        <w:ind w:firstLine="480" w:firstLineChars="200"/>
        <w:rPr>
          <w:rFonts w:ascii="宋体" w:hAnsi="宋体"/>
          <w:sz w:val="24"/>
        </w:rPr>
      </w:pPr>
      <w:r>
        <w:rPr>
          <w:rFonts w:hint="eastAsia" w:ascii="宋体" w:hAnsi="宋体"/>
          <w:sz w:val="24"/>
        </w:rPr>
        <w:t>符合性审查：评审小组应当对符合资格的响应供应商的报价文件进行符合性审查，以确定其是否满足比选文件的实质性要求。评审小组对初步被认定为符合性审查不合格或无效报价者应实行及时告知，由评审小组组长或采购人代表将集体意见现场及时告知响应供应商，以让其核证、澄清事实。未通过符合性审查的响应供应商，不进入评审环节。</w:t>
      </w:r>
    </w:p>
    <w:p>
      <w:pPr>
        <w:spacing w:line="360" w:lineRule="auto"/>
        <w:ind w:firstLine="482" w:firstLineChars="200"/>
        <w:rPr>
          <w:b/>
          <w:sz w:val="24"/>
        </w:rPr>
      </w:pPr>
      <w:r>
        <w:rPr>
          <w:rFonts w:hint="eastAsia" w:ascii="宋体" w:hAnsi="宋体"/>
          <w:b/>
          <w:bCs/>
          <w:sz w:val="24"/>
        </w:rPr>
        <w:t>（1）报价</w:t>
      </w:r>
      <w:r>
        <w:rPr>
          <w:rFonts w:hint="eastAsia"/>
          <w:b/>
          <w:sz w:val="24"/>
        </w:rPr>
        <w:t>文件出现下列情况之一时将被认定为无效报价：</w:t>
      </w:r>
    </w:p>
    <w:p>
      <w:pPr>
        <w:spacing w:line="360" w:lineRule="auto"/>
        <w:ind w:firstLine="480" w:firstLineChars="200"/>
        <w:rPr>
          <w:sz w:val="24"/>
        </w:rPr>
      </w:pPr>
      <w:r>
        <w:rPr>
          <w:rFonts w:hint="eastAsia"/>
          <w:sz w:val="24"/>
        </w:rPr>
        <w:t>　　</w:t>
      </w:r>
      <w:r>
        <w:rPr>
          <w:sz w:val="24"/>
        </w:rPr>
        <w:t>1</w:t>
      </w:r>
      <w:r>
        <w:rPr>
          <w:rFonts w:hint="eastAsia"/>
          <w:sz w:val="24"/>
        </w:rPr>
        <w:t>）报价文件未按比选文件要求签署、盖章的；</w:t>
      </w:r>
    </w:p>
    <w:p>
      <w:pPr>
        <w:spacing w:line="360" w:lineRule="auto"/>
        <w:ind w:firstLine="480" w:firstLineChars="200"/>
        <w:rPr>
          <w:sz w:val="24"/>
        </w:rPr>
      </w:pPr>
      <w:r>
        <w:rPr>
          <w:rFonts w:hint="eastAsia"/>
          <w:sz w:val="24"/>
        </w:rPr>
        <w:t>　　</w:t>
      </w:r>
      <w:r>
        <w:rPr>
          <w:sz w:val="24"/>
        </w:rPr>
        <w:t>2</w:t>
      </w:r>
      <w:r>
        <w:rPr>
          <w:rFonts w:hint="eastAsia"/>
          <w:sz w:val="24"/>
        </w:rPr>
        <w:t>）不具备比选文件中规定的资格要求的；</w:t>
      </w:r>
    </w:p>
    <w:p>
      <w:pPr>
        <w:spacing w:line="360" w:lineRule="auto"/>
        <w:ind w:firstLine="480" w:firstLineChars="200"/>
        <w:rPr>
          <w:sz w:val="24"/>
        </w:rPr>
      </w:pPr>
      <w:r>
        <w:rPr>
          <w:rFonts w:hint="eastAsia"/>
          <w:sz w:val="24"/>
        </w:rPr>
        <w:t>　　3）报价文件含有采购人不能接受的附加条件的；</w:t>
      </w:r>
    </w:p>
    <w:p>
      <w:pPr>
        <w:spacing w:line="360" w:lineRule="auto"/>
        <w:ind w:firstLine="480" w:firstLineChars="200"/>
        <w:rPr>
          <w:sz w:val="24"/>
        </w:rPr>
      </w:pPr>
      <w:r>
        <w:rPr>
          <w:rFonts w:hint="eastAsia"/>
          <w:sz w:val="24"/>
        </w:rPr>
        <w:t>　　4）法律、法规和比选文件规定的其他无效情形。</w:t>
      </w:r>
    </w:p>
    <w:p>
      <w:pPr>
        <w:spacing w:line="360" w:lineRule="auto"/>
        <w:ind w:firstLine="482" w:firstLineChars="200"/>
        <w:rPr>
          <w:rFonts w:ascii="宋体" w:hAnsi="宋体" w:cs="宋体"/>
          <w:b/>
          <w:sz w:val="24"/>
        </w:rPr>
      </w:pPr>
      <w:r>
        <w:rPr>
          <w:rFonts w:hint="eastAsia" w:ascii="宋体" w:hAnsi="宋体"/>
          <w:b/>
          <w:bCs/>
          <w:sz w:val="24"/>
        </w:rPr>
        <w:t>（2）</w:t>
      </w:r>
      <w:r>
        <w:rPr>
          <w:rFonts w:hint="eastAsia" w:ascii="宋体" w:hAnsi="宋体" w:cs="宋体"/>
          <w:b/>
          <w:sz w:val="24"/>
        </w:rPr>
        <w:t>评审过程中报价文件</w:t>
      </w:r>
      <w:r>
        <w:rPr>
          <w:rFonts w:hint="eastAsia" w:ascii="宋体" w:hAnsi="宋体"/>
          <w:b/>
          <w:sz w:val="24"/>
        </w:rPr>
        <w:t>出现下列情况之一时，对该报价文件作无效报价处理：</w:t>
      </w:r>
    </w:p>
    <w:p>
      <w:pPr>
        <w:spacing w:line="360" w:lineRule="auto"/>
        <w:ind w:firstLine="480" w:firstLineChars="200"/>
        <w:rPr>
          <w:sz w:val="24"/>
        </w:rPr>
      </w:pPr>
      <w:r>
        <w:rPr>
          <w:rFonts w:hint="eastAsia"/>
          <w:sz w:val="24"/>
        </w:rPr>
        <w:t>1）</w:t>
      </w:r>
      <w:r>
        <w:rPr>
          <w:sz w:val="24"/>
        </w:rPr>
        <w:t>供应商以他人的名义报价、串通报价、以行贿手段谋取中标或者以其他弄虚作假方式报价的</w:t>
      </w:r>
      <w:r>
        <w:rPr>
          <w:rFonts w:hint="eastAsia"/>
          <w:sz w:val="24"/>
        </w:rPr>
        <w:t>；具体情形如下：</w:t>
      </w:r>
    </w:p>
    <w:p>
      <w:pPr>
        <w:spacing w:line="360" w:lineRule="auto"/>
        <w:ind w:firstLine="480" w:firstLineChars="200"/>
        <w:rPr>
          <w:sz w:val="24"/>
        </w:rPr>
      </w:pPr>
      <w:r>
        <w:rPr>
          <w:rFonts w:hint="eastAsia"/>
          <w:sz w:val="24"/>
        </w:rPr>
        <w:t>a）不同响应供应商的报价文件由同一单位或者个人编制；</w:t>
      </w:r>
    </w:p>
    <w:p>
      <w:pPr>
        <w:spacing w:line="360" w:lineRule="auto"/>
        <w:ind w:firstLine="480" w:firstLineChars="200"/>
        <w:rPr>
          <w:sz w:val="24"/>
        </w:rPr>
      </w:pPr>
      <w:r>
        <w:rPr>
          <w:rFonts w:hint="eastAsia"/>
          <w:sz w:val="24"/>
        </w:rPr>
        <w:t>b）不同响应供应商委托同一单位或者个人办理报价事宜；</w:t>
      </w:r>
    </w:p>
    <w:p>
      <w:pPr>
        <w:spacing w:line="360" w:lineRule="auto"/>
        <w:ind w:firstLine="480" w:firstLineChars="200"/>
        <w:rPr>
          <w:sz w:val="24"/>
        </w:rPr>
      </w:pPr>
      <w:r>
        <w:rPr>
          <w:rFonts w:hint="eastAsia"/>
          <w:sz w:val="24"/>
        </w:rPr>
        <w:t>c）不同响应供应商的报价文件载明的项目管理成员或者联系人员为同一人；</w:t>
      </w:r>
    </w:p>
    <w:p>
      <w:pPr>
        <w:spacing w:line="360" w:lineRule="auto"/>
        <w:ind w:firstLine="480" w:firstLineChars="200"/>
        <w:rPr>
          <w:sz w:val="24"/>
        </w:rPr>
      </w:pPr>
      <w:r>
        <w:rPr>
          <w:rFonts w:hint="eastAsia"/>
          <w:sz w:val="24"/>
        </w:rPr>
        <w:t>d）不同响应供应商的报价文件异常一致或者报价呈规律性差异；</w:t>
      </w:r>
    </w:p>
    <w:p>
      <w:pPr>
        <w:spacing w:line="360" w:lineRule="auto"/>
        <w:ind w:firstLine="480" w:firstLineChars="200"/>
        <w:rPr>
          <w:sz w:val="24"/>
        </w:rPr>
      </w:pPr>
      <w:r>
        <w:rPr>
          <w:rFonts w:hint="eastAsia"/>
          <w:sz w:val="24"/>
        </w:rPr>
        <w:t>e）不同响应供应商的报价文件相互混装；</w:t>
      </w:r>
    </w:p>
    <w:p>
      <w:pPr>
        <w:spacing w:line="360" w:lineRule="auto"/>
        <w:ind w:firstLine="480" w:firstLineChars="200"/>
        <w:rPr>
          <w:rFonts w:ascii="宋体" w:hAnsi="宋体" w:cs="宋体"/>
          <w:sz w:val="24"/>
          <w:szCs w:val="24"/>
        </w:rPr>
      </w:pPr>
      <w:r>
        <w:rPr>
          <w:rFonts w:hint="eastAsia" w:ascii="宋体" w:hAnsi="宋体" w:cs="宋体"/>
          <w:sz w:val="24"/>
        </w:rPr>
        <w:t>2）</w:t>
      </w:r>
      <w:r>
        <w:rPr>
          <w:rFonts w:hint="eastAsia" w:ascii="宋体" w:hAnsi="宋体" w:cs="宋体"/>
          <w:sz w:val="24"/>
          <w:szCs w:val="24"/>
        </w:rPr>
        <w:t>评审小组认为响应供应商的报价明显低于其他通过符合性审查响应供应商的报价，有可能影响产品质量或者不能诚信履约的，应当要求其在评审现场合理的时间内提供书面说明，必要时提交相关证明材料；响应供应商不能证明其报价合理性的，评审小组应当将其作为无效报价处理。</w:t>
      </w:r>
    </w:p>
    <w:p>
      <w:pPr>
        <w:spacing w:line="360" w:lineRule="auto"/>
        <w:ind w:firstLine="482" w:firstLineChars="200"/>
        <w:rPr>
          <w:rFonts w:ascii="宋体" w:hAnsi="宋体"/>
          <w:b/>
          <w:sz w:val="24"/>
        </w:rPr>
      </w:pPr>
      <w:r>
        <w:rPr>
          <w:rFonts w:hint="eastAsia" w:ascii="宋体" w:hAnsi="宋体"/>
          <w:b/>
          <w:sz w:val="24"/>
        </w:rPr>
        <w:t>（3）</w:t>
      </w:r>
      <w:r>
        <w:rPr>
          <w:rFonts w:ascii="宋体" w:hAnsi="宋体"/>
          <w:b/>
          <w:sz w:val="24"/>
        </w:rPr>
        <w:t>其他无效情形</w:t>
      </w:r>
      <w:r>
        <w:rPr>
          <w:rFonts w:hint="eastAsia" w:ascii="宋体" w:hAnsi="宋体"/>
          <w:b/>
          <w:sz w:val="24"/>
        </w:rPr>
        <w:t>：</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未满足项目的</w:t>
      </w:r>
      <w:r>
        <w:rPr>
          <w:rFonts w:hint="eastAsia" w:ascii="宋体" w:hAnsi="宋体"/>
          <w:sz w:val="24"/>
        </w:rPr>
        <w:t>服务期限要</w:t>
      </w:r>
      <w:r>
        <w:rPr>
          <w:rFonts w:ascii="宋体" w:hAnsi="宋体"/>
          <w:sz w:val="24"/>
        </w:rPr>
        <w:t>求</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未按规定提交法定代表人证明书/法人授权委托书</w:t>
      </w:r>
      <w:r>
        <w:rPr>
          <w:rFonts w:hint="eastAsia" w:ascii="宋体" w:hAnsi="宋体"/>
          <w:sz w:val="24"/>
        </w:rPr>
        <w:t>。</w:t>
      </w:r>
    </w:p>
    <w:p>
      <w:pPr>
        <w:spacing w:line="360" w:lineRule="auto"/>
        <w:ind w:firstLine="480" w:firstLineChars="200"/>
        <w:rPr>
          <w:rFonts w:ascii="宋体" w:hAnsi="宋体" w:cs="宋体"/>
          <w:sz w:val="24"/>
        </w:rPr>
      </w:pPr>
      <w:r>
        <w:rPr>
          <w:rFonts w:hint="eastAsia" w:ascii="宋体" w:hAnsi="宋体" w:cs="宋体"/>
          <w:sz w:val="24"/>
        </w:rPr>
        <w:t>被评委会确定为报价文件无效的，其报价文件即被视为不能通过符合性评审，不得参与评审环节。</w:t>
      </w:r>
    </w:p>
    <w:p>
      <w:pPr>
        <w:spacing w:line="360" w:lineRule="auto"/>
        <w:rPr>
          <w:rFonts w:ascii="宋体"/>
          <w:b/>
          <w:bCs/>
          <w:sz w:val="24"/>
        </w:rPr>
      </w:pPr>
      <w:r>
        <w:rPr>
          <w:rFonts w:ascii="宋体"/>
          <w:b/>
          <w:bCs/>
          <w:sz w:val="24"/>
        </w:rPr>
        <w:t>2</w:t>
      </w:r>
      <w:r>
        <w:rPr>
          <w:rFonts w:hint="eastAsia" w:ascii="宋体"/>
          <w:b/>
          <w:bCs/>
          <w:sz w:val="24"/>
        </w:rPr>
        <w:t xml:space="preserve">.2.3 </w:t>
      </w:r>
      <w:bookmarkStart w:id="365" w:name="_Toc61327439"/>
      <w:bookmarkStart w:id="366" w:name="_Toc107383646"/>
      <w:r>
        <w:rPr>
          <w:rFonts w:hint="eastAsia" w:ascii="宋体"/>
          <w:b/>
          <w:bCs/>
          <w:sz w:val="24"/>
        </w:rPr>
        <w:t xml:space="preserve"> 报价文件详细评审</w:t>
      </w:r>
      <w:bookmarkEnd w:id="365"/>
      <w:bookmarkEnd w:id="366"/>
    </w:p>
    <w:p>
      <w:pPr>
        <w:spacing w:line="360" w:lineRule="auto"/>
        <w:ind w:firstLine="480" w:firstLineChars="200"/>
        <w:rPr>
          <w:rFonts w:ascii="宋体" w:hAnsi="宋体"/>
          <w:bCs/>
          <w:sz w:val="24"/>
        </w:rPr>
      </w:pPr>
      <w:r>
        <w:rPr>
          <w:rFonts w:hint="eastAsia" w:ascii="宋体" w:hAnsi="宋体"/>
          <w:bCs/>
          <w:sz w:val="24"/>
        </w:rPr>
        <w:t>（1）在资格、符合性审查时，未能通过资格、符合性审查被认定为无效报价，只有全部满足《资格审查表》和《符合性审查表》所列各项要求的报价才是有效报价，只要不满足资格、符合性条款中所列各项要求之一的，将被认定为无效报价。</w:t>
      </w:r>
    </w:p>
    <w:p>
      <w:pPr>
        <w:spacing w:line="360" w:lineRule="auto"/>
        <w:ind w:firstLine="480" w:firstLineChars="200"/>
        <w:rPr>
          <w:rFonts w:ascii="宋体" w:hAnsi="宋体"/>
          <w:sz w:val="24"/>
          <w:highlight w:val="none"/>
        </w:rPr>
      </w:pPr>
      <w:r>
        <w:rPr>
          <w:rFonts w:hint="eastAsia" w:ascii="宋体" w:hAnsi="宋体"/>
          <w:bCs/>
          <w:sz w:val="24"/>
        </w:rPr>
        <w:t>（2）</w:t>
      </w:r>
      <w:r>
        <w:rPr>
          <w:rFonts w:hint="eastAsia" w:ascii="宋体" w:hAnsi="宋体"/>
          <w:sz w:val="24"/>
        </w:rPr>
        <w:t>当通过</w:t>
      </w:r>
      <w:r>
        <w:rPr>
          <w:rFonts w:hint="eastAsia" w:ascii="宋体" w:hAnsi="宋体"/>
          <w:bCs/>
          <w:sz w:val="24"/>
        </w:rPr>
        <w:t>资格、符合性审查</w:t>
      </w:r>
      <w:r>
        <w:rPr>
          <w:rFonts w:hint="eastAsia" w:ascii="宋体" w:hAnsi="宋体"/>
          <w:sz w:val="24"/>
        </w:rPr>
        <w:t>的响应供应商多于或等于三家时，按照评审程序的规定和依据评分标准以及各项权重、符合性审查结果，各位评委单独就每个响应供应商的各个项目进行评审和比较，评出各项</w:t>
      </w:r>
      <w:r>
        <w:rPr>
          <w:rFonts w:ascii="宋体" w:hAnsi="宋体"/>
          <w:sz w:val="24"/>
        </w:rPr>
        <w:t>得分</w:t>
      </w:r>
      <w:r>
        <w:rPr>
          <w:rFonts w:hint="eastAsia" w:ascii="宋体" w:hAnsi="宋体"/>
          <w:sz w:val="24"/>
        </w:rPr>
        <w:t>。将各项得分相加得出总分，并按总分高低排出名次。</w:t>
      </w:r>
      <w:r>
        <w:rPr>
          <w:rFonts w:hint="eastAsia" w:ascii="宋体" w:hAnsi="宋体"/>
          <w:sz w:val="24"/>
          <w:highlight w:val="none"/>
        </w:rPr>
        <w:t>原则上评审小组依据得分情况推荐出第一成交候选人，第二成交候选人，但鉴于每家机构原则上不能同时参与广晟集团三家（含三家）所属企业的合规管理体系建设工作，因此公司有权结合广晟集团其他所属企业机构选聘情况和在征求广晟集团意见后调整推荐顺序。</w:t>
      </w:r>
    </w:p>
    <w:p>
      <w:pPr>
        <w:pStyle w:val="5"/>
        <w:ind w:firstLine="0"/>
        <w:rPr>
          <w:rFonts w:ascii="宋体" w:hAnsi="宋体"/>
          <w:b/>
          <w:bCs/>
          <w:sz w:val="24"/>
        </w:rPr>
      </w:pPr>
      <w:r>
        <w:rPr>
          <w:rFonts w:ascii="宋体" w:hAnsi="宋体"/>
          <w:b/>
          <w:bCs/>
          <w:sz w:val="24"/>
        </w:rPr>
        <w:t>3.</w:t>
      </w:r>
      <w:r>
        <w:rPr>
          <w:rFonts w:hint="eastAsia" w:ascii="宋体" w:hAnsi="宋体"/>
          <w:b/>
          <w:bCs/>
          <w:sz w:val="24"/>
        </w:rPr>
        <w:t>评分标准</w:t>
      </w:r>
    </w:p>
    <w:tbl>
      <w:tblPr>
        <w:tblStyle w:val="61"/>
        <w:tblW w:w="961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80"/>
        <w:gridCol w:w="980"/>
        <w:gridCol w:w="940"/>
        <w:gridCol w:w="1300"/>
        <w:gridCol w:w="58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85" w:hRule="atLeast"/>
          <w:jc w:val="center"/>
        </w:trPr>
        <w:tc>
          <w:tcPr>
            <w:tcW w:w="580" w:type="dxa"/>
            <w:tcBorders>
              <w:tl2br w:val="nil"/>
              <w:tr2bl w:val="nil"/>
            </w:tcBorders>
            <w:vAlign w:val="center"/>
          </w:tcPr>
          <w:p>
            <w:pPr>
              <w:widowControl/>
              <w:rPr>
                <w:rFonts w:ascii="宋体" w:hAnsi="宋体" w:cs="宋体"/>
                <w:b/>
                <w:bCs/>
                <w:color w:val="000000"/>
                <w:kern w:val="0"/>
                <w:szCs w:val="21"/>
              </w:rPr>
            </w:pPr>
            <w:r>
              <w:rPr>
                <w:rFonts w:hint="eastAsia" w:ascii="宋体" w:hAnsi="宋体" w:cs="宋体"/>
                <w:b/>
                <w:bCs/>
                <w:color w:val="000000"/>
                <w:kern w:val="0"/>
                <w:szCs w:val="21"/>
              </w:rPr>
              <w:t>序号</w:t>
            </w:r>
          </w:p>
        </w:tc>
        <w:tc>
          <w:tcPr>
            <w:tcW w:w="980" w:type="dxa"/>
            <w:tcBorders>
              <w:tl2br w:val="nil"/>
              <w:tr2bl w:val="nil"/>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内容</w:t>
            </w:r>
          </w:p>
        </w:tc>
        <w:tc>
          <w:tcPr>
            <w:tcW w:w="940" w:type="dxa"/>
            <w:tcBorders>
              <w:tl2br w:val="nil"/>
              <w:tr2bl w:val="nil"/>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满分</w:t>
            </w:r>
          </w:p>
        </w:tc>
        <w:tc>
          <w:tcPr>
            <w:tcW w:w="1300" w:type="dxa"/>
            <w:tcBorders>
              <w:tl2br w:val="nil"/>
              <w:tr2bl w:val="nil"/>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评分明细</w:t>
            </w:r>
          </w:p>
        </w:tc>
        <w:tc>
          <w:tcPr>
            <w:tcW w:w="5818" w:type="dxa"/>
            <w:tcBorders>
              <w:tl2br w:val="nil"/>
              <w:tr2bl w:val="nil"/>
            </w:tcBorders>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评分说明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35" w:hRule="atLeast"/>
          <w:jc w:val="center"/>
        </w:trPr>
        <w:tc>
          <w:tcPr>
            <w:tcW w:w="58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98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报价</w:t>
            </w:r>
          </w:p>
        </w:tc>
        <w:tc>
          <w:tcPr>
            <w:tcW w:w="94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按公式计算　</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本项目的价格分采用算术平均价优先法计算，</w:t>
            </w:r>
          </w:p>
          <w:p>
            <w:pPr>
              <w:widowControl/>
              <w:rPr>
                <w:rFonts w:ascii="宋体" w:hAnsi="宋体" w:cs="宋体"/>
                <w:color w:val="000000"/>
                <w:kern w:val="0"/>
                <w:szCs w:val="21"/>
              </w:rPr>
            </w:pPr>
            <w:r>
              <w:rPr>
                <w:rFonts w:hint="eastAsia" w:ascii="宋体" w:hAnsi="宋体" w:cs="宋体"/>
                <w:color w:val="000000"/>
                <w:kern w:val="0"/>
                <w:szCs w:val="21"/>
              </w:rPr>
              <w:t>通过本项目初步审查并符合前述条件的投标价的算术平均价为评标基准价，其价格分为满分,即25分。其他投标人的价格分统一按照下列公式计算：投标报价得分=〔1-|投标价-算术平均价|÷算术平均价〕×25。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2" w:hRule="atLeast"/>
          <w:jc w:val="center"/>
        </w:trPr>
        <w:tc>
          <w:tcPr>
            <w:tcW w:w="58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98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付款方式</w:t>
            </w:r>
          </w:p>
        </w:tc>
        <w:tc>
          <w:tcPr>
            <w:tcW w:w="94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300" w:type="dxa"/>
            <w:tcBorders>
              <w:tl2br w:val="nil"/>
              <w:tr2bl w:val="nil"/>
            </w:tcBorders>
            <w:vAlign w:val="center"/>
          </w:tcPr>
          <w:p>
            <w:pPr>
              <w:widowControl/>
              <w:jc w:val="center"/>
              <w:rPr>
                <w:rFonts w:ascii="宋体" w:hAnsi="宋体" w:cs="宋体"/>
                <w:color w:val="000000"/>
                <w:kern w:val="0"/>
                <w:szCs w:val="21"/>
              </w:rPr>
            </w:pP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供应商在满足采购需求的付款方式基础上，提供更优的付款方式，根据对采购人优惠程度评分：最优的得5分，次优的得4分，依次类推。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0" w:hRule="atLeast"/>
          <w:jc w:val="center"/>
        </w:trPr>
        <w:tc>
          <w:tcPr>
            <w:tcW w:w="58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98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综合实力</w:t>
            </w:r>
          </w:p>
        </w:tc>
        <w:tc>
          <w:tcPr>
            <w:tcW w:w="94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1300" w:type="dxa"/>
            <w:tcBorders>
              <w:tl2br w:val="nil"/>
              <w:tr2bl w:val="nil"/>
            </w:tcBorders>
            <w:vAlign w:val="center"/>
          </w:tcPr>
          <w:p>
            <w:pPr>
              <w:widowControl/>
              <w:jc w:val="center"/>
              <w:rPr>
                <w:rFonts w:ascii="宋体" w:hAnsi="宋体" w:cs="宋体"/>
                <w:color w:val="000000"/>
                <w:kern w:val="0"/>
                <w:szCs w:val="21"/>
              </w:rPr>
            </w:pP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根据供应商在行业里的规模、声誉、知名度、所获得相关奖励证书综合判断。</w:t>
            </w:r>
          </w:p>
          <w:p>
            <w:pPr>
              <w:widowControl/>
              <w:rPr>
                <w:rFonts w:ascii="宋体" w:hAnsi="宋体" w:cs="宋体"/>
                <w:color w:val="000000"/>
                <w:kern w:val="0"/>
                <w:szCs w:val="21"/>
              </w:rPr>
            </w:pPr>
            <w:r>
              <w:rPr>
                <w:rFonts w:hint="eastAsia" w:ascii="宋体" w:hAnsi="宋体" w:cs="宋体"/>
                <w:color w:val="000000"/>
                <w:kern w:val="0"/>
                <w:szCs w:val="21"/>
              </w:rPr>
              <w:t>优秀:8-10分</w:t>
            </w:r>
          </w:p>
          <w:p>
            <w:pPr>
              <w:widowControl/>
              <w:rPr>
                <w:rFonts w:ascii="宋体" w:hAnsi="宋体" w:cs="宋体"/>
                <w:color w:val="000000"/>
                <w:kern w:val="0"/>
                <w:szCs w:val="21"/>
              </w:rPr>
            </w:pPr>
            <w:r>
              <w:rPr>
                <w:rFonts w:hint="eastAsia" w:ascii="宋体" w:hAnsi="宋体" w:cs="宋体"/>
                <w:color w:val="000000"/>
                <w:kern w:val="0"/>
                <w:szCs w:val="21"/>
              </w:rPr>
              <w:t>良好：6-7分</w:t>
            </w:r>
          </w:p>
          <w:p>
            <w:pPr>
              <w:widowControl/>
              <w:rPr>
                <w:rFonts w:ascii="宋体" w:hAnsi="宋体" w:cs="宋体"/>
                <w:color w:val="000000"/>
                <w:kern w:val="0"/>
                <w:szCs w:val="21"/>
              </w:rPr>
            </w:pPr>
            <w:r>
              <w:rPr>
                <w:rFonts w:hint="eastAsia" w:ascii="宋体" w:hAnsi="宋体" w:cs="宋体"/>
                <w:color w:val="000000"/>
                <w:kern w:val="0"/>
                <w:szCs w:val="21"/>
              </w:rPr>
              <w:t>一般：5分以下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0" w:hRule="atLeast"/>
          <w:jc w:val="center"/>
        </w:trPr>
        <w:tc>
          <w:tcPr>
            <w:tcW w:w="58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98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项目人员配备</w:t>
            </w:r>
          </w:p>
        </w:tc>
        <w:tc>
          <w:tcPr>
            <w:tcW w:w="94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项目总负责人</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具有超过10年合规、风控相关工作经验，且具有律师资格证、CPA、CIA或CCSA证书其中之一，具备大型国有或上市企业合规体系建设或风险、内控、合规体系建设咨询服务经验，得5分，否则得0分。</w:t>
            </w:r>
          </w:p>
          <w:p>
            <w:pPr>
              <w:widowControl/>
              <w:rPr>
                <w:rFonts w:ascii="宋体" w:hAnsi="宋体" w:cs="宋体"/>
                <w:color w:val="000000"/>
                <w:kern w:val="0"/>
                <w:szCs w:val="21"/>
              </w:rPr>
            </w:pPr>
            <w:r>
              <w:rPr>
                <w:rFonts w:hint="eastAsia" w:ascii="宋体" w:hAnsi="宋体" w:cs="宋体"/>
                <w:color w:val="000000"/>
                <w:kern w:val="0"/>
                <w:szCs w:val="21"/>
              </w:rPr>
              <w:t>（需提供简历及相关证书）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0" w:hRule="atLeast"/>
          <w:jc w:val="center"/>
        </w:trPr>
        <w:tc>
          <w:tcPr>
            <w:tcW w:w="580" w:type="dxa"/>
            <w:vMerge w:val="continue"/>
            <w:tcBorders>
              <w:tl2br w:val="nil"/>
              <w:tr2bl w:val="nil"/>
            </w:tcBorders>
            <w:vAlign w:val="center"/>
          </w:tcPr>
          <w:p>
            <w:pPr>
              <w:widowControl/>
              <w:jc w:val="center"/>
              <w:rPr>
                <w:rFonts w:ascii="宋体" w:hAnsi="宋体" w:cs="宋体"/>
                <w:color w:val="000000"/>
                <w:kern w:val="0"/>
                <w:szCs w:val="21"/>
              </w:rPr>
            </w:pPr>
          </w:p>
        </w:tc>
        <w:tc>
          <w:tcPr>
            <w:tcW w:w="980" w:type="dxa"/>
            <w:vMerge w:val="continue"/>
            <w:tcBorders>
              <w:tl2br w:val="nil"/>
              <w:tr2bl w:val="nil"/>
            </w:tcBorders>
            <w:vAlign w:val="center"/>
          </w:tcPr>
          <w:p>
            <w:pPr>
              <w:widowControl/>
              <w:jc w:val="center"/>
              <w:rPr>
                <w:rFonts w:ascii="宋体" w:hAnsi="宋体" w:cs="宋体"/>
                <w:color w:val="000000"/>
                <w:kern w:val="0"/>
                <w:szCs w:val="21"/>
              </w:rPr>
            </w:pPr>
          </w:p>
        </w:tc>
        <w:tc>
          <w:tcPr>
            <w:tcW w:w="940" w:type="dxa"/>
            <w:vMerge w:val="continue"/>
            <w:tcBorders>
              <w:tl2br w:val="nil"/>
              <w:tr2bl w:val="nil"/>
            </w:tcBorders>
            <w:vAlign w:val="center"/>
          </w:tcPr>
          <w:p>
            <w:pPr>
              <w:widowControl/>
              <w:jc w:val="center"/>
              <w:rPr>
                <w:rFonts w:ascii="宋体" w:hAnsi="宋体" w:cs="宋体"/>
                <w:color w:val="000000"/>
                <w:kern w:val="0"/>
                <w:szCs w:val="21"/>
              </w:rPr>
            </w:pP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项目总监（经理）</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具有超过5年合规、风控相关工作经验，且具有律师资格证、CPA、CIA或CCSA证书其中之一，具备大型国有或上市企业合规体系建设或风险、内控、合规体系建设咨询服务经验，得5分，否则得0分。</w:t>
            </w:r>
          </w:p>
          <w:p>
            <w:pPr>
              <w:widowControl/>
              <w:rPr>
                <w:rFonts w:ascii="宋体" w:hAnsi="宋体" w:cs="宋体"/>
                <w:color w:val="000000"/>
                <w:kern w:val="0"/>
                <w:szCs w:val="21"/>
              </w:rPr>
            </w:pPr>
            <w:r>
              <w:rPr>
                <w:rFonts w:hint="eastAsia" w:ascii="宋体" w:hAnsi="宋体" w:cs="宋体"/>
                <w:color w:val="000000"/>
                <w:kern w:val="0"/>
                <w:szCs w:val="21"/>
              </w:rPr>
              <w:t>（需提供简历及相关证书）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0" w:hRule="atLeast"/>
          <w:jc w:val="center"/>
        </w:trPr>
        <w:tc>
          <w:tcPr>
            <w:tcW w:w="580" w:type="dxa"/>
            <w:vMerge w:val="continue"/>
            <w:tcBorders>
              <w:tl2br w:val="nil"/>
              <w:tr2bl w:val="nil"/>
            </w:tcBorders>
            <w:vAlign w:val="center"/>
          </w:tcPr>
          <w:p>
            <w:pPr>
              <w:widowControl/>
              <w:jc w:val="left"/>
              <w:rPr>
                <w:rFonts w:ascii="宋体" w:hAnsi="宋体" w:cs="宋体"/>
                <w:color w:val="000000"/>
                <w:kern w:val="0"/>
                <w:szCs w:val="21"/>
              </w:rPr>
            </w:pPr>
          </w:p>
        </w:tc>
        <w:tc>
          <w:tcPr>
            <w:tcW w:w="980" w:type="dxa"/>
            <w:vMerge w:val="continue"/>
            <w:tcBorders>
              <w:tl2br w:val="nil"/>
              <w:tr2bl w:val="nil"/>
            </w:tcBorders>
            <w:vAlign w:val="center"/>
          </w:tcPr>
          <w:p>
            <w:pPr>
              <w:widowControl/>
              <w:jc w:val="center"/>
              <w:rPr>
                <w:rFonts w:ascii="宋体" w:hAnsi="宋体" w:cs="宋体"/>
                <w:color w:val="000000"/>
                <w:kern w:val="0"/>
                <w:szCs w:val="21"/>
              </w:rPr>
            </w:pPr>
          </w:p>
        </w:tc>
        <w:tc>
          <w:tcPr>
            <w:tcW w:w="940" w:type="dxa"/>
            <w:vMerge w:val="continue"/>
            <w:tcBorders>
              <w:tl2br w:val="nil"/>
              <w:tr2bl w:val="nil"/>
            </w:tcBorders>
            <w:vAlign w:val="center"/>
          </w:tcPr>
          <w:p>
            <w:pPr>
              <w:widowControl/>
              <w:jc w:val="left"/>
              <w:rPr>
                <w:rFonts w:ascii="宋体" w:hAnsi="宋体" w:cs="宋体"/>
                <w:color w:val="000000"/>
                <w:kern w:val="0"/>
                <w:szCs w:val="21"/>
              </w:rPr>
            </w:pP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项目团队</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拟派往本项目的团队成员（不含负责人）具有3年以上合规、风控相关经验项目，且具有律师资格证、CPA、CIA或CCSA证书之一，且：</w:t>
            </w:r>
          </w:p>
          <w:p>
            <w:pPr>
              <w:widowControl/>
              <w:rPr>
                <w:rFonts w:ascii="宋体" w:hAnsi="宋体" w:cs="宋体"/>
                <w:color w:val="000000"/>
                <w:kern w:val="0"/>
                <w:szCs w:val="21"/>
              </w:rPr>
            </w:pPr>
            <w:r>
              <w:rPr>
                <w:rFonts w:hint="eastAsia" w:ascii="宋体" w:hAnsi="宋体" w:cs="宋体"/>
                <w:color w:val="000000"/>
                <w:kern w:val="0"/>
                <w:szCs w:val="21"/>
              </w:rPr>
              <w:t>人数≥3人，得5分；</w:t>
            </w:r>
          </w:p>
          <w:p>
            <w:pPr>
              <w:widowControl/>
              <w:rPr>
                <w:rFonts w:ascii="宋体" w:hAnsi="宋体" w:cs="宋体"/>
                <w:color w:val="000000"/>
                <w:kern w:val="0"/>
                <w:szCs w:val="21"/>
              </w:rPr>
            </w:pPr>
            <w:r>
              <w:rPr>
                <w:rFonts w:ascii="宋体" w:hAnsi="宋体" w:cs="宋体"/>
                <w:color w:val="000000"/>
                <w:kern w:val="0"/>
                <w:szCs w:val="21"/>
              </w:rPr>
              <w:t>人数</w:t>
            </w:r>
            <w:r>
              <w:rPr>
                <w:rFonts w:hint="eastAsia" w:ascii="宋体" w:hAnsi="宋体" w:cs="宋体"/>
                <w:color w:val="000000"/>
                <w:kern w:val="0"/>
                <w:szCs w:val="21"/>
              </w:rPr>
              <w:t>=2</w:t>
            </w:r>
            <w:r>
              <w:rPr>
                <w:rFonts w:ascii="宋体" w:hAnsi="宋体" w:cs="宋体"/>
                <w:color w:val="000000"/>
                <w:kern w:val="0"/>
                <w:szCs w:val="21"/>
              </w:rPr>
              <w:t>人，得</w:t>
            </w:r>
            <w:r>
              <w:rPr>
                <w:rFonts w:hint="eastAsia" w:ascii="宋体" w:hAnsi="宋体" w:cs="宋体"/>
                <w:color w:val="000000"/>
                <w:kern w:val="0"/>
                <w:szCs w:val="21"/>
              </w:rPr>
              <w:t>3</w:t>
            </w:r>
            <w:r>
              <w:rPr>
                <w:rFonts w:ascii="宋体" w:hAnsi="宋体" w:cs="宋体"/>
                <w:color w:val="000000"/>
                <w:kern w:val="0"/>
                <w:szCs w:val="21"/>
              </w:rPr>
              <w:t>分；</w:t>
            </w:r>
          </w:p>
          <w:p>
            <w:pPr>
              <w:widowControl/>
              <w:rPr>
                <w:rFonts w:ascii="宋体" w:hAnsi="宋体" w:cs="宋体"/>
                <w:color w:val="000000"/>
                <w:kern w:val="0"/>
                <w:szCs w:val="21"/>
              </w:rPr>
            </w:pPr>
            <w:r>
              <w:rPr>
                <w:rFonts w:hint="eastAsia" w:ascii="宋体" w:hAnsi="宋体" w:cs="宋体"/>
                <w:color w:val="000000"/>
                <w:kern w:val="0"/>
                <w:szCs w:val="21"/>
              </w:rPr>
              <w:t>人数≤1人，得0分。</w:t>
            </w:r>
          </w:p>
          <w:p>
            <w:pPr>
              <w:widowControl/>
              <w:rPr>
                <w:rFonts w:ascii="宋体" w:hAnsi="宋体" w:cs="宋体"/>
                <w:color w:val="000000"/>
                <w:kern w:val="0"/>
                <w:szCs w:val="21"/>
              </w:rPr>
            </w:pPr>
            <w:r>
              <w:rPr>
                <w:rFonts w:ascii="宋体" w:hAnsi="宋体" w:cs="宋体"/>
                <w:color w:val="000000"/>
                <w:kern w:val="0"/>
                <w:szCs w:val="21"/>
              </w:rPr>
              <w:t>（需提供简历及相关证书）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0" w:hRule="atLeast"/>
          <w:jc w:val="center"/>
        </w:trPr>
        <w:tc>
          <w:tcPr>
            <w:tcW w:w="58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98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服务方案评比</w:t>
            </w:r>
          </w:p>
        </w:tc>
        <w:tc>
          <w:tcPr>
            <w:tcW w:w="94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优秀</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充分理解本项目工作重点，需求理解准确、内容完整，实施方案细化得当，交付成果明确清晰，工作时间与进度安排合理，服务方式考虑到采购人特点，予以个性化满足，实施后能有效提升整体管理体系效率和管控质量，提供了超出采购人需求且适合的增值服务。得18-25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0" w:hRule="atLeast"/>
          <w:jc w:val="center"/>
        </w:trPr>
        <w:tc>
          <w:tcPr>
            <w:tcW w:w="580" w:type="dxa"/>
            <w:vMerge w:val="continue"/>
            <w:tcBorders>
              <w:tl2br w:val="nil"/>
              <w:tr2bl w:val="nil"/>
            </w:tcBorders>
            <w:vAlign w:val="center"/>
          </w:tcPr>
          <w:p>
            <w:pPr>
              <w:widowControl/>
              <w:jc w:val="left"/>
              <w:rPr>
                <w:rFonts w:ascii="宋体" w:hAnsi="宋体" w:cs="宋体"/>
                <w:color w:val="000000"/>
                <w:kern w:val="0"/>
                <w:szCs w:val="21"/>
              </w:rPr>
            </w:pPr>
          </w:p>
        </w:tc>
        <w:tc>
          <w:tcPr>
            <w:tcW w:w="980" w:type="dxa"/>
            <w:vMerge w:val="continue"/>
            <w:tcBorders>
              <w:tl2br w:val="nil"/>
              <w:tr2bl w:val="nil"/>
            </w:tcBorders>
            <w:vAlign w:val="center"/>
          </w:tcPr>
          <w:p>
            <w:pPr>
              <w:widowControl/>
              <w:jc w:val="center"/>
              <w:rPr>
                <w:rFonts w:ascii="宋体" w:hAnsi="宋体" w:cs="宋体"/>
                <w:color w:val="000000"/>
                <w:kern w:val="0"/>
                <w:szCs w:val="21"/>
              </w:rPr>
            </w:pPr>
          </w:p>
        </w:tc>
        <w:tc>
          <w:tcPr>
            <w:tcW w:w="940" w:type="dxa"/>
            <w:vMerge w:val="continue"/>
            <w:tcBorders>
              <w:tl2br w:val="nil"/>
              <w:tr2bl w:val="nil"/>
            </w:tcBorders>
            <w:vAlign w:val="center"/>
          </w:tcPr>
          <w:p>
            <w:pPr>
              <w:widowControl/>
              <w:jc w:val="left"/>
              <w:rPr>
                <w:rFonts w:ascii="宋体" w:hAnsi="宋体" w:cs="宋体"/>
                <w:color w:val="000000"/>
                <w:kern w:val="0"/>
                <w:szCs w:val="21"/>
              </w:rPr>
            </w:pP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良好</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较好理解项目内容，把握了主要需求，有具体的交付成果，能按期完成实施项目，服务内容契合实际，能基本完成合规专项体系建设，有一定增值服务。得10-18分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0" w:hRule="atLeast"/>
          <w:jc w:val="center"/>
        </w:trPr>
        <w:tc>
          <w:tcPr>
            <w:tcW w:w="580" w:type="dxa"/>
            <w:vMerge w:val="continue"/>
            <w:tcBorders>
              <w:tl2br w:val="nil"/>
              <w:tr2bl w:val="nil"/>
            </w:tcBorders>
            <w:vAlign w:val="center"/>
          </w:tcPr>
          <w:p>
            <w:pPr>
              <w:widowControl/>
              <w:jc w:val="left"/>
              <w:rPr>
                <w:rFonts w:ascii="宋体" w:hAnsi="宋体" w:cs="宋体"/>
                <w:color w:val="000000"/>
                <w:kern w:val="0"/>
                <w:szCs w:val="21"/>
              </w:rPr>
            </w:pPr>
          </w:p>
        </w:tc>
        <w:tc>
          <w:tcPr>
            <w:tcW w:w="980" w:type="dxa"/>
            <w:vMerge w:val="continue"/>
            <w:tcBorders>
              <w:tl2br w:val="nil"/>
              <w:tr2bl w:val="nil"/>
            </w:tcBorders>
            <w:vAlign w:val="center"/>
          </w:tcPr>
          <w:p>
            <w:pPr>
              <w:widowControl/>
              <w:jc w:val="center"/>
              <w:rPr>
                <w:rFonts w:ascii="宋体" w:hAnsi="宋体" w:cs="宋体"/>
                <w:color w:val="000000"/>
                <w:kern w:val="0"/>
                <w:szCs w:val="21"/>
              </w:rPr>
            </w:pPr>
          </w:p>
        </w:tc>
        <w:tc>
          <w:tcPr>
            <w:tcW w:w="940" w:type="dxa"/>
            <w:vMerge w:val="continue"/>
            <w:tcBorders>
              <w:tl2br w:val="nil"/>
              <w:tr2bl w:val="nil"/>
            </w:tcBorders>
            <w:vAlign w:val="center"/>
          </w:tcPr>
          <w:p>
            <w:pPr>
              <w:widowControl/>
              <w:jc w:val="left"/>
              <w:rPr>
                <w:rFonts w:ascii="宋体" w:hAnsi="宋体" w:cs="宋体"/>
                <w:color w:val="000000"/>
                <w:kern w:val="0"/>
                <w:szCs w:val="21"/>
              </w:rPr>
            </w:pP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一般</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仅能满足部分采购需求，服务方案无法保障全部需求得以实现，服务方式不具有个性化，体系质量难以控制，项目完成进度有风险。得10分以下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15" w:hRule="atLeast"/>
          <w:jc w:val="center"/>
        </w:trPr>
        <w:tc>
          <w:tcPr>
            <w:tcW w:w="58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98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相关行业经验</w:t>
            </w:r>
          </w:p>
        </w:tc>
        <w:tc>
          <w:tcPr>
            <w:tcW w:w="940" w:type="dxa"/>
            <w:vMerge w:val="restart"/>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国有/上市企业项目业绩</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供应商具有风险管理、内部控制、合规管理咨询服务项目业绩，且服务企业属于广东省内大型国有/上市企业（包括央企、省属、市属国企）的，每个项目</w:t>
            </w:r>
            <w:r>
              <w:rPr>
                <w:rFonts w:ascii="宋体" w:hAnsi="宋体" w:cs="宋体"/>
                <w:color w:val="000000"/>
                <w:kern w:val="0"/>
                <w:szCs w:val="21"/>
              </w:rPr>
              <w:t>3</w:t>
            </w:r>
            <w:r>
              <w:rPr>
                <w:rFonts w:hint="eastAsia" w:ascii="宋体" w:hAnsi="宋体" w:cs="宋体"/>
                <w:color w:val="000000"/>
                <w:kern w:val="0"/>
                <w:szCs w:val="21"/>
              </w:rPr>
              <w:t>分，满分最高</w:t>
            </w:r>
            <w:r>
              <w:rPr>
                <w:rFonts w:ascii="宋体" w:hAnsi="宋体" w:cs="宋体"/>
                <w:color w:val="000000"/>
                <w:kern w:val="0"/>
                <w:szCs w:val="21"/>
              </w:rPr>
              <w:t>10</w:t>
            </w:r>
            <w:r>
              <w:rPr>
                <w:rFonts w:hint="eastAsia" w:ascii="宋体" w:hAnsi="宋体" w:cs="宋体"/>
                <w:color w:val="000000"/>
                <w:kern w:val="0"/>
                <w:szCs w:val="21"/>
              </w:rPr>
              <w:t>分。（业绩证明材料至少包含合同首页、项目内容页、合同金额页和合同盖章页复印件）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9" w:hRule="atLeast"/>
          <w:jc w:val="center"/>
        </w:trPr>
        <w:tc>
          <w:tcPr>
            <w:tcW w:w="580" w:type="dxa"/>
            <w:vMerge w:val="continue"/>
            <w:tcBorders>
              <w:tl2br w:val="nil"/>
              <w:tr2bl w:val="nil"/>
            </w:tcBorders>
            <w:vAlign w:val="center"/>
          </w:tcPr>
          <w:p>
            <w:pPr>
              <w:widowControl/>
              <w:jc w:val="center"/>
              <w:rPr>
                <w:rFonts w:ascii="宋体" w:hAnsi="宋体" w:cs="宋体"/>
                <w:color w:val="000000"/>
                <w:kern w:val="0"/>
                <w:szCs w:val="21"/>
              </w:rPr>
            </w:pPr>
          </w:p>
        </w:tc>
        <w:tc>
          <w:tcPr>
            <w:tcW w:w="980" w:type="dxa"/>
            <w:vMerge w:val="continue"/>
            <w:tcBorders>
              <w:tl2br w:val="nil"/>
              <w:tr2bl w:val="nil"/>
            </w:tcBorders>
            <w:vAlign w:val="center"/>
          </w:tcPr>
          <w:p>
            <w:pPr>
              <w:widowControl/>
              <w:jc w:val="left"/>
              <w:rPr>
                <w:rFonts w:ascii="宋体" w:hAnsi="宋体" w:cs="宋体"/>
                <w:color w:val="000000"/>
                <w:kern w:val="0"/>
                <w:szCs w:val="21"/>
              </w:rPr>
            </w:pPr>
          </w:p>
        </w:tc>
        <w:tc>
          <w:tcPr>
            <w:tcW w:w="940" w:type="dxa"/>
            <w:vMerge w:val="continue"/>
            <w:tcBorders>
              <w:tl2br w:val="nil"/>
              <w:tr2bl w:val="nil"/>
            </w:tcBorders>
            <w:vAlign w:val="center"/>
          </w:tcPr>
          <w:p>
            <w:pPr>
              <w:widowControl/>
              <w:jc w:val="center"/>
              <w:rPr>
                <w:rFonts w:ascii="宋体" w:hAnsi="宋体" w:cs="宋体"/>
                <w:color w:val="000000"/>
                <w:kern w:val="0"/>
                <w:szCs w:val="21"/>
              </w:rPr>
            </w:pP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其他大中型企业项目业绩</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供应商</w:t>
            </w:r>
            <w:r>
              <w:rPr>
                <w:rFonts w:ascii="宋体" w:hAnsi="宋体" w:cs="宋体"/>
                <w:color w:val="000000"/>
                <w:kern w:val="0"/>
                <w:szCs w:val="21"/>
              </w:rPr>
              <w:t>具有风险管理、内部控制、合规管理咨询服务项目业绩，且服务企业属于</w:t>
            </w:r>
            <w:r>
              <w:rPr>
                <w:rFonts w:hint="eastAsia" w:ascii="宋体" w:hAnsi="宋体" w:cs="宋体"/>
                <w:color w:val="000000"/>
                <w:kern w:val="0"/>
                <w:szCs w:val="21"/>
              </w:rPr>
              <w:t>其他大型企业</w:t>
            </w:r>
            <w:r>
              <w:rPr>
                <w:rFonts w:ascii="宋体" w:hAnsi="宋体" w:cs="宋体"/>
                <w:color w:val="000000"/>
                <w:kern w:val="0"/>
                <w:szCs w:val="21"/>
              </w:rPr>
              <w:t>的</w:t>
            </w:r>
            <w:r>
              <w:rPr>
                <w:rFonts w:hint="eastAsia" w:ascii="宋体" w:hAnsi="宋体" w:cs="宋体"/>
                <w:color w:val="000000"/>
                <w:kern w:val="0"/>
                <w:szCs w:val="21"/>
              </w:rPr>
              <w:t>（按</w:t>
            </w:r>
            <w:r>
              <w:rPr>
                <w:rFonts w:ascii="宋体" w:hAnsi="宋体" w:cs="宋体"/>
                <w:color w:val="000000"/>
                <w:kern w:val="0"/>
                <w:szCs w:val="21"/>
              </w:rPr>
              <w:t>《统计上大中小微型企业划分办法（2017)》</w:t>
            </w:r>
            <w:r>
              <w:rPr>
                <w:rFonts w:hint="eastAsia" w:ascii="宋体" w:hAnsi="宋体" w:cs="宋体"/>
                <w:color w:val="000000"/>
                <w:kern w:val="0"/>
                <w:szCs w:val="21"/>
              </w:rPr>
              <w:t>标准</w:t>
            </w:r>
            <w:r>
              <w:rPr>
                <w:rFonts w:ascii="宋体" w:hAnsi="宋体" w:cs="宋体"/>
                <w:color w:val="000000"/>
                <w:kern w:val="0"/>
                <w:szCs w:val="21"/>
              </w:rPr>
              <w:t>），每个项目</w:t>
            </w:r>
            <w:r>
              <w:rPr>
                <w:rFonts w:hint="eastAsia" w:ascii="宋体" w:hAnsi="宋体" w:cs="宋体"/>
                <w:color w:val="000000"/>
                <w:kern w:val="0"/>
                <w:szCs w:val="21"/>
              </w:rPr>
              <w:t>2</w:t>
            </w:r>
            <w:r>
              <w:rPr>
                <w:rFonts w:ascii="宋体" w:hAnsi="宋体" w:cs="宋体"/>
                <w:color w:val="000000"/>
                <w:kern w:val="0"/>
                <w:szCs w:val="21"/>
              </w:rPr>
              <w:t>分，满分最高</w:t>
            </w:r>
            <w:r>
              <w:rPr>
                <w:rFonts w:hint="eastAsia" w:ascii="宋体" w:hAnsi="宋体" w:cs="宋体"/>
                <w:color w:val="000000"/>
                <w:kern w:val="0"/>
                <w:szCs w:val="21"/>
              </w:rPr>
              <w:t>5</w:t>
            </w:r>
            <w:r>
              <w:rPr>
                <w:rFonts w:ascii="宋体" w:hAnsi="宋体" w:cs="宋体"/>
                <w:color w:val="000000"/>
                <w:kern w:val="0"/>
                <w:szCs w:val="21"/>
              </w:rPr>
              <w:t>分。（业绩证明材料至少包含合同首页、项目内容页、合同金额页和合同盖章页复印件）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9" w:hRule="atLeast"/>
          <w:jc w:val="center"/>
        </w:trPr>
        <w:tc>
          <w:tcPr>
            <w:tcW w:w="580" w:type="dxa"/>
            <w:vMerge w:val="continue"/>
            <w:tcBorders>
              <w:tl2br w:val="nil"/>
              <w:tr2bl w:val="nil"/>
            </w:tcBorders>
            <w:vAlign w:val="center"/>
          </w:tcPr>
          <w:p>
            <w:pPr>
              <w:widowControl/>
              <w:jc w:val="center"/>
              <w:rPr>
                <w:rFonts w:ascii="宋体" w:hAnsi="宋体" w:cs="宋体"/>
                <w:color w:val="000000"/>
                <w:kern w:val="0"/>
                <w:szCs w:val="21"/>
              </w:rPr>
            </w:pPr>
          </w:p>
        </w:tc>
        <w:tc>
          <w:tcPr>
            <w:tcW w:w="980" w:type="dxa"/>
            <w:vMerge w:val="continue"/>
            <w:tcBorders>
              <w:tl2br w:val="nil"/>
              <w:tr2bl w:val="nil"/>
            </w:tcBorders>
            <w:vAlign w:val="center"/>
          </w:tcPr>
          <w:p>
            <w:pPr>
              <w:widowControl/>
              <w:jc w:val="left"/>
              <w:rPr>
                <w:rFonts w:ascii="宋体" w:hAnsi="宋体" w:cs="宋体"/>
                <w:color w:val="000000"/>
                <w:kern w:val="0"/>
                <w:szCs w:val="21"/>
              </w:rPr>
            </w:pPr>
          </w:p>
        </w:tc>
        <w:tc>
          <w:tcPr>
            <w:tcW w:w="940" w:type="dxa"/>
            <w:vMerge w:val="continue"/>
            <w:tcBorders>
              <w:tl2br w:val="nil"/>
              <w:tr2bl w:val="nil"/>
            </w:tcBorders>
            <w:vAlign w:val="center"/>
          </w:tcPr>
          <w:p>
            <w:pPr>
              <w:widowControl/>
              <w:jc w:val="center"/>
              <w:rPr>
                <w:rFonts w:ascii="宋体" w:hAnsi="宋体" w:cs="宋体"/>
                <w:color w:val="000000"/>
                <w:kern w:val="0"/>
                <w:szCs w:val="21"/>
              </w:rPr>
            </w:pPr>
          </w:p>
        </w:tc>
        <w:tc>
          <w:tcPr>
            <w:tcW w:w="1300" w:type="dxa"/>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体系整合</w:t>
            </w:r>
          </w:p>
          <w:p>
            <w:pPr>
              <w:widowControl/>
              <w:jc w:val="center"/>
              <w:rPr>
                <w:rFonts w:ascii="宋体" w:hAnsi="宋体" w:cs="宋体"/>
                <w:color w:val="000000"/>
                <w:kern w:val="0"/>
                <w:szCs w:val="21"/>
              </w:rPr>
            </w:pPr>
            <w:r>
              <w:rPr>
                <w:rFonts w:hint="eastAsia" w:ascii="宋体" w:hAnsi="宋体" w:cs="宋体"/>
                <w:color w:val="000000"/>
                <w:kern w:val="0"/>
                <w:szCs w:val="21"/>
              </w:rPr>
              <w:t>项目业绩</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除前两项所列业绩之外，还有大型集团企业风险、内控、合规三者整合体系建设咨询项目服务经验的，每个项目得2分，最高得5分。</w:t>
            </w:r>
          </w:p>
          <w:p>
            <w:pPr>
              <w:widowControl/>
              <w:rPr>
                <w:rFonts w:ascii="宋体" w:hAnsi="宋体" w:cs="宋体"/>
                <w:color w:val="000000"/>
                <w:kern w:val="0"/>
                <w:szCs w:val="21"/>
              </w:rPr>
            </w:pPr>
            <w:r>
              <w:rPr>
                <w:rFonts w:hint="eastAsia" w:ascii="宋体" w:hAnsi="宋体" w:cs="宋体"/>
                <w:color w:val="000000"/>
                <w:kern w:val="0"/>
                <w:szCs w:val="21"/>
              </w:rPr>
              <w:t>（业绩证明材料至少包含合同首页、项目内容页、合同金额页和合同盖章页复印件）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85" w:hRule="atLeast"/>
          <w:jc w:val="center"/>
        </w:trPr>
        <w:tc>
          <w:tcPr>
            <w:tcW w:w="1560" w:type="dxa"/>
            <w:gridSpan w:val="2"/>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总分</w:t>
            </w:r>
          </w:p>
        </w:tc>
        <w:tc>
          <w:tcPr>
            <w:tcW w:w="2240" w:type="dxa"/>
            <w:gridSpan w:val="2"/>
            <w:tcBorders>
              <w:tl2br w:val="nil"/>
              <w:tr2bl w:val="nil"/>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5818" w:type="dxa"/>
            <w:tcBorders>
              <w:tl2br w:val="nil"/>
              <w:tr2bl w:val="nil"/>
            </w:tcBorders>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r>
    </w:tbl>
    <w:p>
      <w:pPr>
        <w:pStyle w:val="5"/>
        <w:ind w:firstLine="0"/>
        <w:rPr>
          <w:rFonts w:ascii="宋体" w:hAnsi="宋体"/>
          <w:b/>
          <w:bCs/>
          <w:sz w:val="24"/>
        </w:rPr>
      </w:pPr>
    </w:p>
    <w:p>
      <w:pPr>
        <w:pStyle w:val="5"/>
        <w:ind w:firstLine="0"/>
        <w:rPr>
          <w:rFonts w:ascii="宋体" w:hAnsi="宋体"/>
          <w:b/>
          <w:bCs/>
          <w:sz w:val="24"/>
        </w:rPr>
      </w:pPr>
    </w:p>
    <w:p>
      <w:pPr>
        <w:spacing w:line="460" w:lineRule="exact"/>
        <w:jc w:val="center"/>
        <w:rPr>
          <w:rFonts w:ascii="宋体" w:hAnsi="宋体"/>
          <w:b/>
          <w:bCs/>
          <w:sz w:val="40"/>
          <w:szCs w:val="40"/>
        </w:rPr>
      </w:pPr>
      <w:r>
        <w:rPr>
          <w:rFonts w:hint="eastAsia" w:ascii="宋体" w:hAnsi="宋体"/>
          <w:b/>
          <w:bCs/>
          <w:sz w:val="32"/>
        </w:rPr>
        <w:br w:type="page"/>
      </w:r>
      <w:r>
        <w:rPr>
          <w:rFonts w:hint="eastAsia" w:ascii="宋体" w:hAnsi="宋体"/>
          <w:b/>
          <w:bCs/>
          <w:sz w:val="40"/>
          <w:szCs w:val="40"/>
        </w:rPr>
        <w:t>第五部分 合同样稿</w:t>
      </w:r>
    </w:p>
    <w:p>
      <w:pPr>
        <w:pStyle w:val="5"/>
        <w:ind w:firstLine="0"/>
        <w:rPr>
          <w:rFonts w:ascii="宋体" w:hAnsi="宋体"/>
          <w:b/>
          <w:bCs/>
          <w:sz w:val="24"/>
        </w:rPr>
      </w:pPr>
    </w:p>
    <w:p>
      <w:pPr>
        <w:autoSpaceDE w:val="0"/>
        <w:autoSpaceDN w:val="0"/>
        <w:adjustRightInd w:val="0"/>
        <w:jc w:val="center"/>
        <w:rPr>
          <w:rFonts w:ascii="方正小标宋简体" w:hAnsi="方正小标宋简体" w:eastAsia="方正小标宋简体" w:cs="方正小标宋简体"/>
          <w:spacing w:val="1"/>
          <w:kern w:val="0"/>
          <w:position w:val="-4"/>
          <w:sz w:val="32"/>
          <w:szCs w:val="22"/>
        </w:rPr>
      </w:pPr>
      <w:r>
        <w:rPr>
          <w:rFonts w:hint="eastAsia" w:ascii="方正小标宋简体" w:hAnsi="方正小标宋简体" w:eastAsia="方正小标宋简体" w:cs="方正小标宋简体"/>
          <w:spacing w:val="1"/>
          <w:kern w:val="0"/>
          <w:position w:val="-4"/>
          <w:sz w:val="32"/>
          <w:szCs w:val="22"/>
        </w:rPr>
        <w:t>合同书</w:t>
      </w:r>
    </w:p>
    <w:p>
      <w:pPr>
        <w:autoSpaceDE w:val="0"/>
        <w:autoSpaceDN w:val="0"/>
        <w:adjustRightInd w:val="0"/>
        <w:jc w:val="left"/>
        <w:rPr>
          <w:rFonts w:ascii="宋体" w:hAnsi="宋体" w:eastAsia="仿宋_GB2312" w:cs="Arial Unicode MS"/>
          <w:spacing w:val="1"/>
          <w:kern w:val="0"/>
          <w:position w:val="-4"/>
          <w:sz w:val="28"/>
          <w:szCs w:val="21"/>
        </w:rPr>
      </w:pP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甲方：</w:t>
      </w: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 xml:space="preserve">住所：                                                         </w:t>
      </w: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 xml:space="preserve">电话：             </w:t>
      </w: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法定代表人：</w:t>
      </w:r>
    </w:p>
    <w:p>
      <w:pPr>
        <w:autoSpaceDE w:val="0"/>
        <w:autoSpaceDN w:val="0"/>
        <w:adjustRightInd w:val="0"/>
        <w:jc w:val="left"/>
        <w:rPr>
          <w:rFonts w:ascii="宋体" w:hAnsi="宋体" w:eastAsia="仿宋_GB2312" w:cs="Arial Unicode MS"/>
          <w:spacing w:val="1"/>
          <w:kern w:val="0"/>
          <w:position w:val="-4"/>
          <w:sz w:val="28"/>
          <w:szCs w:val="21"/>
        </w:rPr>
      </w:pP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 xml:space="preserve">乙方：                                                           </w:t>
      </w: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 xml:space="preserve">住所：                                                           </w:t>
      </w: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 xml:space="preserve">电话：                              </w:t>
      </w:r>
    </w:p>
    <w:p>
      <w:pPr>
        <w:autoSpaceDE w:val="0"/>
        <w:autoSpaceDN w:val="0"/>
        <w:adjustRightInd w:val="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法定代表人：</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为组织开展合规管理体系建设工作，甲方聘请乙方为</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公司合规管理体系建设项目提供相关咨询服务。甲、乙双方本着自愿、公平的原则，经过友好协商，根据《中华人民共和国民法典》的有关规定，就集团合规管理体系建设服务委托事宜达成以下协议，并承诺共同遵守。</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第一条 服务范围</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乙方就下列事项应勤勉尽责地提供咨询服务：</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分析公司合规管理体系建设现状，开展合规管理评估。</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梳理公司合规义务来源，包括公司主业、国资监管有关的外部法律法规及内部制度规定等，形成的法律法规、制度库。</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梳理公司合规管理重点领域、重点环节和重点人员，明确合规管理重点。</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建立、完善公司合规管理组织体系、治理架构、流程体系和制度体系，指导公司修订具体业务制度。</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梳理形成合规管理风险库，建立合规风险动态更新机制。</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开展合规管理培训和文化宣贯。</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建立合规审查、报告、风险监控和预警、考核评价、评估、问责等合规管理运行机制和保障机制，形成相应流程和制度。</w:t>
      </w:r>
    </w:p>
    <w:p>
      <w:pPr>
        <w:numPr>
          <w:ilvl w:val="0"/>
          <w:numId w:val="33"/>
        </w:numPr>
        <w:autoSpaceDE w:val="0"/>
        <w:autoSpaceDN w:val="0"/>
        <w:adjustRightInd w:val="0"/>
        <w:spacing w:after="120" w:afterLines="50"/>
        <w:ind w:firstLine="561"/>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通过建立合规依据库、合规义务库、合规风险库、合规制度库、合规指引库等方式来建设公司2-3个重点合规领域</w:t>
      </w:r>
    </w:p>
    <w:p>
      <w:pPr>
        <w:numPr>
          <w:ilvl w:val="0"/>
          <w:numId w:val="33"/>
        </w:numPr>
        <w:autoSpaceDE w:val="0"/>
        <w:autoSpaceDN w:val="0"/>
        <w:adjustRightInd w:val="0"/>
        <w:spacing w:after="120" w:afterLines="50"/>
        <w:ind w:firstLine="561"/>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梳理合规体系与其他现有体系之间的关系，分析比较法务、合规、风控、内控等系统趋同性，对标一流企业做法，提出一体化制度建设方案，整合流程、表单，搭建协同联动的管理体系。</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成果展示和验收。形成企业合规管理建设报告，圆满完成XX集团合规管理试点工作。</w:t>
      </w:r>
    </w:p>
    <w:p>
      <w:pPr>
        <w:numPr>
          <w:ilvl w:val="0"/>
          <w:numId w:val="33"/>
        </w:numPr>
        <w:autoSpaceDE w:val="0"/>
        <w:autoSpaceDN w:val="0"/>
        <w:adjustRightInd w:val="0"/>
        <w:spacing w:after="120" w:afterLines="50"/>
        <w:ind w:firstLine="564"/>
        <w:jc w:val="left"/>
        <w:rPr>
          <w:rFonts w:ascii="宋体" w:hAnsi="宋体" w:eastAsia="仿宋_GB2312" w:cs="Arial Unicode MS"/>
          <w:spacing w:val="1"/>
          <w:kern w:val="0"/>
          <w:position w:val="-4"/>
          <w:sz w:val="28"/>
          <w:szCs w:val="21"/>
        </w:rPr>
      </w:pPr>
      <w:r>
        <w:rPr>
          <w:rFonts w:ascii="宋体" w:hAnsi="宋体" w:eastAsia="仿宋_GB2312" w:cs="Arial Unicode MS"/>
          <w:spacing w:val="1"/>
          <w:kern w:val="0"/>
          <w:position w:val="-4"/>
          <w:sz w:val="28"/>
          <w:szCs w:val="21"/>
        </w:rPr>
        <w:t>其他与合规管理体系建设有关咨询服务工作</w:t>
      </w:r>
      <w:r>
        <w:rPr>
          <w:rFonts w:hint="eastAsia" w:ascii="宋体" w:hAnsi="宋体" w:eastAsia="仿宋_GB2312" w:cs="Arial Unicode MS"/>
          <w:spacing w:val="1"/>
          <w:kern w:val="0"/>
          <w:position w:val="-4"/>
          <w:sz w:val="28"/>
          <w:szCs w:val="21"/>
        </w:rPr>
        <w:t>。</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第二条 成果交付及时间安排</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乙方基于上述内容开展工作，并交付工作成果，包括但不限于：</w:t>
      </w:r>
    </w:p>
    <w:tbl>
      <w:tblPr>
        <w:tblStyle w:val="61"/>
        <w:tblW w:w="9090" w:type="dxa"/>
        <w:jc w:val="center"/>
        <w:tblInd w:w="0" w:type="dxa"/>
        <w:tblLayout w:type="fixed"/>
        <w:tblCellMar>
          <w:top w:w="15" w:type="dxa"/>
          <w:left w:w="15" w:type="dxa"/>
          <w:bottom w:w="15" w:type="dxa"/>
          <w:right w:w="15" w:type="dxa"/>
        </w:tblCellMar>
      </w:tblPr>
      <w:tblGrid>
        <w:gridCol w:w="718"/>
        <w:gridCol w:w="1701"/>
        <w:gridCol w:w="5387"/>
        <w:gridCol w:w="1284"/>
      </w:tblGrid>
      <w:tr>
        <w:tblPrEx>
          <w:tblLayout w:type="fixed"/>
          <w:tblCellMar>
            <w:top w:w="15" w:type="dxa"/>
            <w:left w:w="15" w:type="dxa"/>
            <w:bottom w:w="15" w:type="dxa"/>
            <w:right w:w="15" w:type="dxa"/>
          </w:tblCellMar>
        </w:tblPrEx>
        <w:trPr>
          <w:trHeight w:val="283" w:hRule="atLeast"/>
          <w:jc w:val="center"/>
        </w:trPr>
        <w:tc>
          <w:tcPr>
            <w:tcW w:w="71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序号</w:t>
            </w: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工作成果</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包含的具体内容</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jc w:val="center"/>
              <w:rPr>
                <w:rFonts w:ascii="宋体" w:hAnsi="宋体"/>
                <w:sz w:val="24"/>
                <w:szCs w:val="22"/>
              </w:rPr>
            </w:pPr>
            <w:r>
              <w:rPr>
                <w:rFonts w:hint="eastAsia" w:ascii="宋体" w:hAnsi="宋体"/>
                <w:sz w:val="24"/>
                <w:szCs w:val="22"/>
              </w:rPr>
              <w:t>完成时间</w:t>
            </w:r>
          </w:p>
        </w:tc>
      </w:tr>
      <w:tr>
        <w:tblPrEx>
          <w:tblLayout w:type="fixed"/>
          <w:tblCellMar>
            <w:top w:w="15" w:type="dxa"/>
            <w:left w:w="15" w:type="dxa"/>
            <w:bottom w:w="15" w:type="dxa"/>
            <w:right w:w="15" w:type="dxa"/>
          </w:tblCellMar>
        </w:tblPrEx>
        <w:trPr>
          <w:trHeight w:val="28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1</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内部管理合规状况评价</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企业合规管理工作实施情况</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合规管理体系评价报告及管理提升建议</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restart"/>
            <w:tcBorders>
              <w:top w:val="single" w:color="000000" w:sz="4" w:space="0"/>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2</w:t>
            </w:r>
          </w:p>
        </w:tc>
        <w:tc>
          <w:tcPr>
            <w:tcW w:w="1701" w:type="dxa"/>
            <w:vMerge w:val="restart"/>
            <w:tcBorders>
              <w:top w:val="single" w:color="000000" w:sz="4" w:space="0"/>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合规管理制度</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合规管理制度框架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合规管理组织体系与职责</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highlight w:val="none"/>
              </w:rPr>
              <w:t>合规管理指引（合规管理办法），涵</w:t>
            </w:r>
            <w:r>
              <w:rPr>
                <w:rFonts w:hint="eastAsia" w:ascii="宋体" w:hAnsi="宋体"/>
                <w:sz w:val="24"/>
                <w:szCs w:val="22"/>
              </w:rPr>
              <w:t>盖重点环节、重点领域、重点人员的合规管理框架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highlight w:val="yellow"/>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合规管理运行流程及相关制度</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现有制度完善修订建议书</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restart"/>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3</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合规风险运行管控机制</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highlight w:val="none"/>
              </w:rPr>
            </w:pPr>
            <w:r>
              <w:rPr>
                <w:rFonts w:hint="eastAsia" w:ascii="宋体" w:hAnsi="宋体"/>
                <w:sz w:val="24"/>
                <w:szCs w:val="22"/>
                <w:highlight w:val="none"/>
              </w:rPr>
              <w:t>设计核心合规风险管控流程，搭建企业合规风险数据库，建立合规风险库动态更新机制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highlight w:val="none"/>
              </w:rPr>
            </w:pPr>
            <w:r>
              <w:rPr>
                <w:rFonts w:hint="eastAsia" w:ascii="宋体" w:hAnsi="宋体"/>
                <w:sz w:val="24"/>
                <w:szCs w:val="22"/>
                <w:highlight w:val="none"/>
              </w:rPr>
              <w:t>通过建立合规依据库、合规义务库、合规风险库、合规制度库、合规指引库等方式来建设公司至少3个重点合规领域</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left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highlight w:val="none"/>
              </w:rPr>
            </w:pPr>
            <w:r>
              <w:rPr>
                <w:rFonts w:hint="eastAsia" w:ascii="宋体" w:hAnsi="宋体"/>
                <w:sz w:val="24"/>
                <w:szCs w:val="22"/>
                <w:highlight w:val="none"/>
              </w:rPr>
              <w:t>合规管理风险清单及岗位人员合规风险清单，合规风险识别预警机制，出具风险应对方案</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建立合规审查机制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highlight w:val="none"/>
              </w:rPr>
            </w:pPr>
            <w:r>
              <w:rPr>
                <w:rFonts w:hint="eastAsia" w:ascii="宋体" w:hAnsi="宋体"/>
                <w:sz w:val="24"/>
                <w:szCs w:val="22"/>
                <w:highlight w:val="none"/>
              </w:rPr>
              <w:t>建立合规联席会议机制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highlight w:val="yellow"/>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highlight w:val="none"/>
              </w:rPr>
            </w:pPr>
            <w:r>
              <w:rPr>
                <w:rFonts w:hint="eastAsia" w:ascii="宋体" w:hAnsi="宋体"/>
                <w:sz w:val="24"/>
                <w:szCs w:val="22"/>
                <w:highlight w:val="none"/>
              </w:rPr>
              <w:t>健全违规问责与容错免责机制、合规管理评估机制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highlight w:val="yellow"/>
              </w:rPr>
            </w:pPr>
          </w:p>
        </w:tc>
      </w:tr>
      <w:tr>
        <w:tblPrEx>
          <w:tblLayout w:type="fixed"/>
          <w:tblCellMar>
            <w:top w:w="15" w:type="dxa"/>
            <w:left w:w="15" w:type="dxa"/>
            <w:bottom w:w="15" w:type="dxa"/>
            <w:right w:w="15" w:type="dxa"/>
          </w:tblCellMar>
        </w:tblPrEx>
        <w:trPr>
          <w:trHeight w:val="28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4</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合规保障机制</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建立合规考核评价制度</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建立激励约束机制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合规管理机构和人员设置建议</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5</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合规培训与文化</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介绍国内外合规管理优秀经验、前沿技术等</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开展公司内部理论分享、外部企业之间的优秀实践分享</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开展合规管理实务操作，传授实战工作经验与方法</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合规管理宣贯，搭建企业合规文化</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6</w:t>
            </w: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三位一体管理体系</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梳理合规体系与其他现有体系之间的关系，分析比较法务、合规、风控、内控等系统趋同性，对标一流企业做法，提出一体化制度建设方案，整合流程、表</w:t>
            </w:r>
            <w:r>
              <w:rPr>
                <w:rFonts w:hint="eastAsia" w:ascii="宋体" w:hAnsi="宋体"/>
                <w:sz w:val="24"/>
                <w:szCs w:val="22"/>
                <w:highlight w:val="none"/>
              </w:rPr>
              <w:t>单、手册，搭建协同联动的管理体系</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7</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合规风险管理手册</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梳理甲方业务领域相关法律法规、部门规章、政策性文件等</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510"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搭建企业合规风险框架</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提示业务环节合规风险，编制风险应对方案</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合规重点领域的相关关键业务流程图</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流程缺陷改善管理</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8</w:t>
            </w: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项目成果</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企业合规管理建设总体报告</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9</w:t>
            </w: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项目验收</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就建设成果进行全面总结汇报并交付全部项目资料（含工作底稿）</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p>
        </w:tc>
      </w:tr>
      <w:tr>
        <w:tblPrEx>
          <w:tblLayout w:type="fixed"/>
          <w:tblCellMar>
            <w:top w:w="15" w:type="dxa"/>
            <w:left w:w="15" w:type="dxa"/>
            <w:bottom w:w="15" w:type="dxa"/>
            <w:right w:w="15" w:type="dxa"/>
          </w:tblCellMar>
        </w:tblPrEx>
        <w:trPr>
          <w:trHeight w:val="283" w:hRule="atLeast"/>
          <w:jc w:val="center"/>
        </w:trPr>
        <w:tc>
          <w:tcPr>
            <w:tcW w:w="718"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10</w:t>
            </w: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jc w:val="center"/>
              <w:rPr>
                <w:rFonts w:ascii="宋体" w:hAnsi="宋体"/>
                <w:sz w:val="24"/>
                <w:szCs w:val="22"/>
              </w:rPr>
            </w:pPr>
            <w:r>
              <w:rPr>
                <w:rFonts w:hint="eastAsia" w:ascii="宋体" w:hAnsi="宋体"/>
                <w:sz w:val="24"/>
                <w:szCs w:val="22"/>
              </w:rPr>
              <w:t>整改完善</w:t>
            </w:r>
          </w:p>
        </w:tc>
        <w:tc>
          <w:tcPr>
            <w:tcW w:w="5387" w:type="dxa"/>
            <w:tcBorders>
              <w:top w:val="single" w:color="000000" w:sz="4" w:space="0"/>
              <w:left w:val="single" w:color="000000" w:sz="4" w:space="0"/>
              <w:bottom w:val="single" w:color="000000" w:sz="4" w:space="0"/>
              <w:right w:val="single" w:color="000000" w:sz="4" w:space="0"/>
            </w:tcBorders>
            <w:vAlign w:val="center"/>
          </w:tcPr>
          <w:p>
            <w:pPr>
              <w:spacing w:line="500" w:lineRule="exact"/>
              <w:ind w:right="25" w:rightChars="12"/>
              <w:rPr>
                <w:rFonts w:ascii="宋体" w:hAnsi="宋体"/>
                <w:sz w:val="24"/>
                <w:szCs w:val="22"/>
              </w:rPr>
            </w:pPr>
            <w:r>
              <w:rPr>
                <w:rFonts w:hint="eastAsia" w:ascii="宋体" w:hAnsi="宋体"/>
                <w:sz w:val="24"/>
                <w:szCs w:val="22"/>
              </w:rPr>
              <w:t>根据验收结果和运行情况进行整改完善</w:t>
            </w:r>
          </w:p>
        </w:tc>
        <w:tc>
          <w:tcPr>
            <w:tcW w:w="1284" w:type="dxa"/>
            <w:tcBorders>
              <w:top w:val="single" w:color="000000" w:sz="4" w:space="0"/>
              <w:left w:val="single" w:color="000000" w:sz="4" w:space="0"/>
              <w:bottom w:val="single" w:color="000000" w:sz="4" w:space="0"/>
              <w:right w:val="single" w:color="000000" w:sz="4" w:space="0"/>
            </w:tcBorders>
          </w:tcPr>
          <w:p>
            <w:pPr>
              <w:spacing w:line="500" w:lineRule="exact"/>
              <w:ind w:right="25" w:rightChars="12"/>
              <w:rPr>
                <w:rFonts w:ascii="宋体" w:hAnsi="宋体"/>
                <w:sz w:val="24"/>
                <w:szCs w:val="22"/>
              </w:rPr>
            </w:pPr>
            <w:r>
              <w:rPr>
                <w:rFonts w:hint="eastAsia" w:ascii="宋体" w:hAnsi="宋体"/>
                <w:sz w:val="24"/>
                <w:szCs w:val="22"/>
              </w:rPr>
              <w:t>合同期末</w:t>
            </w:r>
          </w:p>
        </w:tc>
      </w:tr>
    </w:tbl>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第三条 甲方的义务</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（一）甲方应全程参与本项目并积极配合乙方工作，并负责监督本项目下乙方所提供的专业服务。</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（二）甲方应客观、及时地向乙方提供与委托事务有关的各种资料、文件，并对本项目所提供的信息准确性、披露、完整性和陈述负责。</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（三）甲方应当依照本合同约定，按时、足额支付合同费用。</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（四）需要乙方参加有关会议、研究项目进展时，甲方应提早通知，并事先提交必要的文件材料，让乙方有充分的准备时间。</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五）在乙方履行本合同服务时，甲方应与乙方合作，包括但不限于为乙方提供合理的设施、提供接触甲方相关人员的机会，并应负责提供适当的办公场地、宽带网络以及出入证件用于乙方开展项目，并不收取使用费或任何其他费用。</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（六）甲方指派</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为联系人，负责转达甲方的指示和要求。</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第四条 乙方的义务</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（一）乙方指派由</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等组成的专项咨询服务团队，承办本合同约定的咨询服务。其中，</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担任联系人，负责与甲方对接有关工作。</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（二）乙方应勤勉、尽责地完成甲方委托的事务，及时向甲方报告工作进展，按照甲方的合理要求修正、完善所提交的项目成果，并按时按质提交。</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highlight w:val="none"/>
        </w:rPr>
      </w:pPr>
      <w:r>
        <w:rPr>
          <w:rFonts w:hint="eastAsia" w:ascii="宋体" w:hAnsi="宋体" w:eastAsia="仿宋_GB2312" w:cs="Arial Unicode MS"/>
          <w:spacing w:val="1"/>
          <w:kern w:val="0"/>
          <w:position w:val="-4"/>
          <w:sz w:val="28"/>
          <w:szCs w:val="21"/>
          <w:highlight w:val="none"/>
        </w:rPr>
        <w:t>（三）乙方应根据项目情况和甲方需求每周提供不少于</w:t>
      </w:r>
      <w:r>
        <w:rPr>
          <w:rFonts w:ascii="宋体" w:hAnsi="宋体" w:eastAsia="仿宋_GB2312" w:cs="Arial Unicode MS"/>
          <w:spacing w:val="1"/>
          <w:kern w:val="0"/>
          <w:position w:val="-4"/>
          <w:sz w:val="28"/>
          <w:szCs w:val="21"/>
          <w:highlight w:val="none"/>
        </w:rPr>
        <w:t>2个工作日的现场服务，不得因驻场原因影响项目进度和合规验收。项目服务期间，供应商应以现场汇报或者工作周报的形式每周汇报工作进度，如果出现未按照计划时间节点完成任务的情况，应及时与</w:t>
      </w:r>
      <w:r>
        <w:rPr>
          <w:rFonts w:hint="eastAsia" w:ascii="宋体" w:hAnsi="宋体" w:eastAsia="仿宋_GB2312" w:cs="Arial Unicode MS"/>
          <w:spacing w:val="1"/>
          <w:kern w:val="0"/>
          <w:position w:val="-4"/>
          <w:sz w:val="28"/>
          <w:szCs w:val="21"/>
          <w:highlight w:val="none"/>
        </w:rPr>
        <w:t>甲方</w:t>
      </w:r>
      <w:r>
        <w:rPr>
          <w:rFonts w:ascii="宋体" w:hAnsi="宋体" w:eastAsia="仿宋_GB2312" w:cs="Arial Unicode MS"/>
          <w:spacing w:val="1"/>
          <w:kern w:val="0"/>
          <w:position w:val="-4"/>
          <w:sz w:val="28"/>
          <w:szCs w:val="21"/>
          <w:highlight w:val="none"/>
        </w:rPr>
        <w:t>进行沟通，采取有效应对措施，确保按时按质完成项目。</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（四）乙方对于需经审查、修改的文件，乙方需在甲方提交材料后1个工作日内完成审查和修改，并将意见交给甲方。</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（五）乙方有责任及义务对甲方提供的所有材料及文件保密，未经甲方书面同意，不得向任何第三方披露。</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六）乙方保证其提供给甲方的项目资料不侵犯任何第三方知识产权。如果第三方声称甲方使用本项目的咨询服务成果侵犯了其知识产权，有关责任均由乙方自行承担，并应依法赔偿经生效判决或裁定认定的甲方就此所应承担的实际损失和费用，及甲方因此而付出的律师费及诉讼等费用。</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（七）乙方不得随意更换项目团队，项目团队成员如有更换，应及及时通知甲方，并经得甲方书面同意，乙方应保证为甲方的提供咨询服务工作不受任何影响。</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（八）乙方应在服务期限内完成全部项目，并递交正式版本的项目成果。所有成果（包括阶段性成果）均应交付电子版本和纸质版本，纸质版本原则上不得少于</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份。</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highlight w:val="none"/>
        </w:rPr>
      </w:pPr>
      <w:r>
        <w:rPr>
          <w:rFonts w:hint="eastAsia" w:ascii="宋体" w:hAnsi="宋体" w:eastAsia="仿宋_GB2312" w:cs="Arial Unicode MS"/>
          <w:spacing w:val="1"/>
          <w:kern w:val="0"/>
          <w:position w:val="-4"/>
          <w:sz w:val="28"/>
          <w:szCs w:val="21"/>
        </w:rPr>
        <w:t>（九）在完成约定项目工作后，乙方为甲方提供为期半年的免费售后服务，通过电话、邮件</w:t>
      </w:r>
      <w:r>
        <w:rPr>
          <w:rFonts w:hint="eastAsia" w:ascii="宋体" w:hAnsi="宋体" w:eastAsia="仿宋_GB2312" w:cs="Arial Unicode MS"/>
          <w:spacing w:val="1"/>
          <w:kern w:val="0"/>
          <w:position w:val="-4"/>
          <w:sz w:val="28"/>
          <w:szCs w:val="21"/>
          <w:highlight w:val="none"/>
        </w:rPr>
        <w:t>、现场、必要的会议支持等形式，持续对甲方的项目成果运用于合规管理体系落地过程中的问题提供咨询、服务与支持。</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highlight w:val="none"/>
        </w:rPr>
        <w:t>（十）乙方协助甲方建设合规管理体系过程中，向甲方提交全部成果的知识产权属于甲乙双方共同所有，未经甲乙双</w:t>
      </w:r>
      <w:r>
        <w:rPr>
          <w:rFonts w:hint="eastAsia" w:ascii="宋体" w:hAnsi="宋体" w:eastAsia="仿宋_GB2312" w:cs="Arial Unicode MS"/>
          <w:spacing w:val="1"/>
          <w:kern w:val="0"/>
          <w:position w:val="-4"/>
          <w:sz w:val="28"/>
          <w:szCs w:val="21"/>
        </w:rPr>
        <w:t>方书面同意，任何一方不得向任何第三方（甲方上级公司广晟集团除外）披露或传播本项目有关成果内容。</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第五条 服务期限、费用及支付方式</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（一）服务期：自合同签订之日起至验收通过后6个月。</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（二）本合同采取总价包干。总费用为</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元人民币（大写：</w:t>
      </w:r>
      <w:r>
        <w:rPr>
          <w:rFonts w:hint="eastAsia" w:ascii="宋体" w:hAnsi="宋体" w:eastAsia="仿宋_GB2312" w:cs="Arial Unicode MS"/>
          <w:spacing w:val="1"/>
          <w:kern w:val="0"/>
          <w:position w:val="-4"/>
          <w:sz w:val="28"/>
          <w:szCs w:val="21"/>
          <w:u w:val="single"/>
        </w:rPr>
        <w:t xml:space="preserve">       </w:t>
      </w:r>
      <w:r>
        <w:rPr>
          <w:rFonts w:hint="eastAsia" w:ascii="宋体" w:hAnsi="宋体" w:eastAsia="仿宋_GB2312" w:cs="Arial Unicode MS"/>
          <w:spacing w:val="1"/>
          <w:kern w:val="0"/>
          <w:position w:val="-4"/>
          <w:sz w:val="28"/>
          <w:szCs w:val="21"/>
        </w:rPr>
        <w:t>整）。</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（三）支付进度：</w:t>
      </w:r>
    </w:p>
    <w:p>
      <w:pPr>
        <w:autoSpaceDE w:val="0"/>
        <w:autoSpaceDN w:val="0"/>
        <w:adjustRightInd w:val="0"/>
        <w:spacing w:after="120" w:afterLines="5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第六条 支付方式</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甲方以银行转账方式支付合同费用。乙方账户为：</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户名：</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开户行：</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账号：</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乙方应在甲方付款前，出具合法有效的增值税专用发票。乙方未按要求出具发票而导致甲方延迟付款的，不视为甲方违约。</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第七条 合同的变更、解除</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（一）经双方协商一致，可以变更或解除本合同。</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（二）乙方有违反本合同第四条第（二）项、第（五）项或第（六）项规定之义务的，甲方有权在书面通知乙方后单方解除合同，未支付的款项不再支付。</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（三）甲方逾期三十日并经乙方书面催告后仍不支付合同费用的，乙方可以解除合同或暂停工作。</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第八条 违约责任</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（一）乙方无正当理由不提供第一条所约定的服务，甲方有权要求乙方退还已支付的合同费用。</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（二）乙方违反本合同第四条第（二）项、第（五）项或第（六）项规定之义务给甲方造成损失的，乙方应向甲方承担赔偿责任。</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三）乙方未按第二条时间约定完成阶段工作的，经甲方书面提醒后仍未整改的，甲方有权酌情（合同总金额的3%-5%）扣减服务费，超过三次的，甲方有权解除合同，并要求乙方退还所收取的全部费用，并要求乙方赔偿损失。</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（四）乙方未按验收后甲方意见进行完善工作的，甲方有权没收尾款，不再支付。</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（五）经乙方书面催告后，甲方无正当理由仍拒不支付合同费用或无故终止合同的，乙方可以要求甲方及时支付应付未付的合同费用。</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第九条 争议的解决</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甲乙双方如果发生争议，应当友好协商解决。协商不成的，任何一方可以向甲方所在地人民法院提起诉讼。</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第十条 合同的成立、生效</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本合同自双方签字盖章之日起成立并生效。合同有效期限按本合同第五条约定，但依据本合同第七条规定提前解除合同的除外。</w:t>
      </w: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p>
    <w:p>
      <w:pPr>
        <w:autoSpaceDE w:val="0"/>
        <w:autoSpaceDN w:val="0"/>
        <w:adjustRightInd w:val="0"/>
        <w:spacing w:after="240" w:afterLines="100"/>
        <w:ind w:firstLine="566" w:firstLineChars="200"/>
        <w:jc w:val="left"/>
        <w:rPr>
          <w:rFonts w:ascii="宋体" w:hAnsi="宋体" w:eastAsia="仿宋_GB2312" w:cs="Arial Unicode MS"/>
          <w:b/>
          <w:bCs/>
          <w:spacing w:val="1"/>
          <w:kern w:val="0"/>
          <w:position w:val="-4"/>
          <w:sz w:val="28"/>
          <w:szCs w:val="21"/>
        </w:rPr>
      </w:pPr>
      <w:r>
        <w:rPr>
          <w:rFonts w:hint="eastAsia" w:ascii="宋体" w:hAnsi="宋体" w:eastAsia="仿宋_GB2312" w:cs="Arial Unicode MS"/>
          <w:b/>
          <w:bCs/>
          <w:spacing w:val="1"/>
          <w:kern w:val="0"/>
          <w:position w:val="-4"/>
          <w:sz w:val="28"/>
          <w:szCs w:val="21"/>
        </w:rPr>
        <w:t>第十一条 附则</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本合同一式四份，双方各执二份，具有同等法律效力。</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（以下无正文，为签署页。）</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甲方（盖章）：</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签约代表：</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乙方（盖章）：</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签约代表：</w:t>
      </w: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p>
    <w:p>
      <w:pPr>
        <w:autoSpaceDE w:val="0"/>
        <w:autoSpaceDN w:val="0"/>
        <w:adjustRightInd w:val="0"/>
        <w:ind w:firstLine="564" w:firstLineChars="200"/>
        <w:jc w:val="left"/>
        <w:rPr>
          <w:rFonts w:ascii="宋体" w:hAnsi="宋体" w:eastAsia="仿宋_GB2312" w:cs="Arial Unicode MS"/>
          <w:spacing w:val="1"/>
          <w:kern w:val="0"/>
          <w:position w:val="-4"/>
          <w:sz w:val="28"/>
          <w:szCs w:val="21"/>
        </w:rPr>
      </w:pPr>
      <w:r>
        <w:rPr>
          <w:rFonts w:hint="eastAsia" w:ascii="宋体" w:hAnsi="宋体" w:eastAsia="仿宋_GB2312" w:cs="Arial Unicode MS"/>
          <w:spacing w:val="1"/>
          <w:kern w:val="0"/>
          <w:position w:val="-4"/>
          <w:sz w:val="28"/>
          <w:szCs w:val="21"/>
        </w:rPr>
        <w:t>签订时间：2021年   月   日</w:t>
      </w:r>
    </w:p>
    <w:p>
      <w:pPr>
        <w:autoSpaceDE w:val="0"/>
        <w:autoSpaceDN w:val="0"/>
        <w:adjustRightInd w:val="0"/>
        <w:jc w:val="left"/>
        <w:rPr>
          <w:rFonts w:ascii="宋体" w:hAnsi="宋体" w:eastAsia="仿宋_GB2312" w:cs="Arial Unicode MS"/>
          <w:spacing w:val="1"/>
          <w:kern w:val="0"/>
          <w:position w:val="-4"/>
          <w:sz w:val="28"/>
          <w:szCs w:val="21"/>
        </w:rPr>
      </w:pPr>
    </w:p>
    <w:p>
      <w:pPr>
        <w:autoSpaceDE w:val="0"/>
        <w:autoSpaceDN w:val="0"/>
        <w:adjustRightInd w:val="0"/>
        <w:jc w:val="left"/>
        <w:rPr>
          <w:rFonts w:ascii="Calibri" w:hAnsi="Calibri" w:eastAsia="仿宋_GB2312"/>
          <w:b/>
          <w:bCs/>
          <w:kern w:val="0"/>
          <w:sz w:val="28"/>
          <w:szCs w:val="28"/>
          <w:u w:val="single"/>
        </w:rPr>
      </w:pPr>
    </w:p>
    <w:p>
      <w:pPr>
        <w:autoSpaceDE w:val="0"/>
        <w:autoSpaceDN w:val="0"/>
        <w:adjustRightInd w:val="0"/>
        <w:jc w:val="left"/>
        <w:rPr>
          <w:rFonts w:ascii="Calibri" w:hAnsi="Calibri" w:eastAsia="仿宋_GB2312"/>
          <w:b/>
          <w:bCs/>
          <w:kern w:val="0"/>
          <w:sz w:val="28"/>
          <w:szCs w:val="28"/>
          <w:u w:val="single"/>
        </w:rPr>
      </w:pPr>
    </w:p>
    <w:p>
      <w:pPr>
        <w:autoSpaceDE w:val="0"/>
        <w:autoSpaceDN w:val="0"/>
        <w:adjustRightInd w:val="0"/>
        <w:jc w:val="left"/>
        <w:rPr>
          <w:rFonts w:ascii="Calibri" w:hAnsi="Calibri" w:eastAsia="仿宋_GB2312"/>
          <w:b/>
          <w:bCs/>
          <w:kern w:val="0"/>
          <w:sz w:val="28"/>
          <w:szCs w:val="28"/>
          <w:u w:val="single"/>
        </w:rPr>
      </w:pPr>
    </w:p>
    <w:p>
      <w:pPr>
        <w:autoSpaceDE w:val="0"/>
        <w:autoSpaceDN w:val="0"/>
        <w:adjustRightInd w:val="0"/>
        <w:jc w:val="left"/>
        <w:rPr>
          <w:rFonts w:ascii="Calibri" w:hAnsi="Calibri" w:eastAsia="仿宋_GB2312"/>
          <w:b/>
          <w:bCs/>
          <w:kern w:val="0"/>
          <w:sz w:val="28"/>
          <w:szCs w:val="28"/>
          <w:u w:val="single"/>
        </w:rPr>
      </w:pPr>
    </w:p>
    <w:p>
      <w:pPr>
        <w:autoSpaceDE w:val="0"/>
        <w:autoSpaceDN w:val="0"/>
        <w:adjustRightInd w:val="0"/>
        <w:jc w:val="left"/>
        <w:rPr>
          <w:rFonts w:ascii="Calibri" w:hAnsi="Calibri" w:eastAsia="仿宋_GB2312"/>
          <w:b/>
          <w:bCs/>
          <w:kern w:val="0"/>
          <w:sz w:val="28"/>
          <w:szCs w:val="28"/>
          <w:u w:val="single"/>
        </w:rPr>
      </w:pPr>
    </w:p>
    <w:p>
      <w:pPr>
        <w:autoSpaceDE w:val="0"/>
        <w:autoSpaceDN w:val="0"/>
        <w:adjustRightInd w:val="0"/>
        <w:jc w:val="left"/>
        <w:rPr>
          <w:rFonts w:ascii="Calibri" w:hAnsi="Calibri" w:eastAsia="仿宋_GB2312"/>
          <w:b/>
          <w:bCs/>
          <w:kern w:val="0"/>
          <w:sz w:val="28"/>
          <w:szCs w:val="28"/>
          <w:u w:val="single"/>
        </w:rPr>
      </w:pPr>
    </w:p>
    <w:p>
      <w:pPr>
        <w:autoSpaceDE w:val="0"/>
        <w:autoSpaceDN w:val="0"/>
        <w:adjustRightInd w:val="0"/>
        <w:jc w:val="left"/>
        <w:rPr>
          <w:rFonts w:ascii="Calibri" w:hAnsi="Calibri" w:eastAsia="仿宋_GB2312"/>
          <w:b/>
          <w:bCs/>
          <w:kern w:val="0"/>
          <w:sz w:val="28"/>
          <w:szCs w:val="28"/>
          <w:u w:val="single"/>
        </w:rPr>
      </w:pPr>
    </w:p>
    <w:p>
      <w:pPr>
        <w:widowControl/>
        <w:spacing w:line="460" w:lineRule="exact"/>
        <w:jc w:val="center"/>
        <w:rPr>
          <w:rFonts w:ascii="宋体" w:hAnsi="宋体"/>
          <w:b/>
          <w:bCs/>
          <w:sz w:val="40"/>
          <w:szCs w:val="22"/>
        </w:rPr>
      </w:pPr>
      <w:r>
        <w:rPr>
          <w:rFonts w:ascii="宋体" w:hAnsi="宋体" w:eastAsia="仿宋_GB2312" w:cs="Arial Unicode MS"/>
          <w:kern w:val="0"/>
          <w:sz w:val="24"/>
          <w:szCs w:val="24"/>
        </w:rPr>
        <w:br w:type="page"/>
      </w:r>
      <w:r>
        <w:rPr>
          <w:rFonts w:hint="eastAsia" w:ascii="宋体" w:hAnsi="宋体"/>
          <w:b/>
          <w:bCs/>
          <w:sz w:val="40"/>
          <w:szCs w:val="22"/>
        </w:rPr>
        <w:t>第六部分 文件格式</w:t>
      </w:r>
    </w:p>
    <w:p>
      <w:pPr>
        <w:spacing w:line="360" w:lineRule="auto"/>
        <w:ind w:firstLine="480" w:firstLineChars="200"/>
        <w:rPr>
          <w:rFonts w:ascii="宋体" w:hAnsi="宋体"/>
          <w:bCs/>
          <w:sz w:val="24"/>
          <w:szCs w:val="22"/>
        </w:rPr>
      </w:pPr>
    </w:p>
    <w:p>
      <w:pPr>
        <w:spacing w:line="360" w:lineRule="auto"/>
        <w:rPr>
          <w:rFonts w:ascii="宋体" w:hAnsi="宋体"/>
          <w:b/>
          <w:color w:val="000000"/>
          <w:sz w:val="28"/>
          <w:szCs w:val="28"/>
        </w:rPr>
      </w:pPr>
      <w:r>
        <w:rPr>
          <w:rFonts w:hint="eastAsia" w:ascii="宋体" w:hAnsi="宋体"/>
          <w:b/>
          <w:color w:val="000000"/>
          <w:sz w:val="28"/>
          <w:szCs w:val="28"/>
        </w:rPr>
        <w:t>一、比选承诺函</w:t>
      </w:r>
    </w:p>
    <w:p>
      <w:pPr>
        <w:spacing w:line="360" w:lineRule="auto"/>
        <w:jc w:val="center"/>
        <w:rPr>
          <w:rFonts w:ascii="宋体" w:hAnsi="宋体"/>
          <w:b/>
          <w:sz w:val="32"/>
          <w:szCs w:val="28"/>
        </w:rPr>
      </w:pPr>
      <w:r>
        <w:rPr>
          <w:rFonts w:hint="eastAsia" w:ascii="宋体" w:hAnsi="宋体"/>
          <w:b/>
          <w:sz w:val="32"/>
          <w:szCs w:val="28"/>
        </w:rPr>
        <w:t>比选承诺函</w:t>
      </w:r>
    </w:p>
    <w:p>
      <w:pPr>
        <w:spacing w:line="360" w:lineRule="auto"/>
        <w:rPr>
          <w:rFonts w:ascii="宋体" w:hAnsi="宋体"/>
          <w:bCs/>
          <w:sz w:val="24"/>
          <w:szCs w:val="22"/>
        </w:rPr>
      </w:pPr>
    </w:p>
    <w:p>
      <w:pPr>
        <w:spacing w:line="360" w:lineRule="auto"/>
        <w:rPr>
          <w:rFonts w:ascii="宋体" w:hAnsi="宋体"/>
          <w:bCs/>
          <w:sz w:val="24"/>
          <w:szCs w:val="22"/>
        </w:rPr>
      </w:pPr>
      <w:r>
        <w:rPr>
          <w:rFonts w:hint="eastAsia" w:ascii="宋体" w:hAnsi="宋体"/>
          <w:bCs/>
          <w:sz w:val="24"/>
          <w:szCs w:val="22"/>
        </w:rPr>
        <w:t xml:space="preserve">致：佛山电器照明股份有限公司   </w:t>
      </w:r>
    </w:p>
    <w:p>
      <w:pPr>
        <w:spacing w:line="360" w:lineRule="auto"/>
        <w:ind w:firstLine="480" w:firstLineChars="200"/>
        <w:rPr>
          <w:rFonts w:ascii="宋体" w:hAnsi="宋体"/>
          <w:bCs/>
          <w:sz w:val="24"/>
          <w:szCs w:val="22"/>
        </w:rPr>
      </w:pPr>
      <w:r>
        <w:rPr>
          <w:rFonts w:hint="eastAsia" w:ascii="宋体" w:hAnsi="宋体"/>
          <w:bCs/>
          <w:sz w:val="24"/>
          <w:szCs w:val="22"/>
        </w:rPr>
        <w:t>一、在仔细研究了贵司比选函、函内列出上级文件及其它所有附件，现根据比选函、答疑文件和其它相关文件的要求，并考虑本企业自身的实力及特点，经综合研究决定，我司愿意参与比选。</w:t>
      </w:r>
    </w:p>
    <w:p>
      <w:pPr>
        <w:spacing w:line="360" w:lineRule="auto"/>
        <w:ind w:firstLine="480" w:firstLineChars="200"/>
        <w:rPr>
          <w:rFonts w:ascii="宋体" w:hAnsi="宋体"/>
          <w:bCs/>
          <w:sz w:val="24"/>
          <w:szCs w:val="22"/>
        </w:rPr>
      </w:pPr>
      <w:r>
        <w:rPr>
          <w:rFonts w:hint="eastAsia" w:ascii="宋体" w:hAnsi="宋体"/>
          <w:bCs/>
          <w:sz w:val="24"/>
          <w:szCs w:val="22"/>
        </w:rPr>
        <w:t>二、我司已充分了解本项目及相关概况、服务范围等要求，以及比选函、可能有的补充（修改）文件、所提供的参考资料中所有的事项、格式、条款和规范要求等，我司愿承担因误解、忽视所造成的风险和责任。我司如果比选成功成为采购成交供应商，必定全面履行上述相关文件的规定和要求,并同意与贵司签署一份基于上述文件而制定的服务合同。</w:t>
      </w:r>
    </w:p>
    <w:p>
      <w:pPr>
        <w:spacing w:line="360" w:lineRule="auto"/>
        <w:ind w:firstLine="480" w:firstLineChars="200"/>
        <w:rPr>
          <w:rFonts w:ascii="宋体" w:hAnsi="宋体"/>
          <w:bCs/>
          <w:sz w:val="24"/>
          <w:szCs w:val="22"/>
        </w:rPr>
      </w:pPr>
      <w:r>
        <w:rPr>
          <w:rFonts w:hint="eastAsia" w:ascii="宋体" w:hAnsi="宋体"/>
          <w:bCs/>
          <w:sz w:val="24"/>
          <w:szCs w:val="22"/>
        </w:rPr>
        <w:t>三、我司同意本比选文件有效期90日，期内始终对我司具有约束力，并可随时被贵司接受；如我司成为成交供应商，则本比选文件对我司的约束力延至双方签署的合同终止之日止。</w:t>
      </w:r>
    </w:p>
    <w:p>
      <w:pPr>
        <w:spacing w:line="360" w:lineRule="auto"/>
        <w:ind w:firstLine="480" w:firstLineChars="200"/>
        <w:rPr>
          <w:rFonts w:ascii="宋体" w:hAnsi="宋体"/>
          <w:bCs/>
          <w:sz w:val="24"/>
          <w:szCs w:val="22"/>
        </w:rPr>
      </w:pPr>
      <w:r>
        <w:rPr>
          <w:rFonts w:hint="eastAsia" w:ascii="宋体" w:hAnsi="宋体"/>
          <w:bCs/>
          <w:sz w:val="24"/>
          <w:szCs w:val="22"/>
        </w:rPr>
        <w:t>四、如果我司在接到采购成交供应商通知后，没有按贵司要求的时间签署正式合同，或坚持提出附加条件，那么我司同意贵司有另选其他供应商的权利。</w:t>
      </w:r>
    </w:p>
    <w:p>
      <w:pPr>
        <w:spacing w:line="360" w:lineRule="auto"/>
        <w:ind w:firstLine="480" w:firstLineChars="200"/>
        <w:rPr>
          <w:rFonts w:ascii="宋体" w:hAnsi="宋体"/>
          <w:bCs/>
          <w:sz w:val="24"/>
          <w:szCs w:val="22"/>
        </w:rPr>
      </w:pPr>
      <w:r>
        <w:rPr>
          <w:rFonts w:hint="eastAsia" w:ascii="宋体" w:hAnsi="宋体"/>
          <w:bCs/>
          <w:sz w:val="24"/>
          <w:szCs w:val="22"/>
        </w:rPr>
        <w:t>五、我司对比选函的评选标准和方式充分理解，不论我司比选成功与否，贵司均无需向我司作出任何解释。</w:t>
      </w:r>
    </w:p>
    <w:p>
      <w:pPr>
        <w:spacing w:line="360" w:lineRule="auto"/>
        <w:ind w:firstLine="480" w:firstLineChars="200"/>
        <w:rPr>
          <w:rFonts w:ascii="宋体" w:hAnsi="宋体"/>
          <w:bCs/>
          <w:sz w:val="24"/>
          <w:szCs w:val="22"/>
        </w:rPr>
      </w:pPr>
      <w:r>
        <w:rPr>
          <w:rFonts w:hint="eastAsia" w:ascii="宋体" w:hAnsi="宋体"/>
          <w:bCs/>
          <w:sz w:val="24"/>
          <w:szCs w:val="22"/>
        </w:rPr>
        <w:t xml:space="preserve"> 特此承诺。</w:t>
      </w:r>
    </w:p>
    <w:p>
      <w:pPr>
        <w:spacing w:line="360" w:lineRule="auto"/>
        <w:ind w:firstLine="480" w:firstLineChars="200"/>
        <w:rPr>
          <w:rFonts w:ascii="宋体" w:hAnsi="宋体"/>
          <w:bCs/>
          <w:sz w:val="24"/>
          <w:szCs w:val="22"/>
        </w:rPr>
      </w:pPr>
    </w:p>
    <w:p>
      <w:pPr>
        <w:snapToGrid w:val="0"/>
        <w:spacing w:before="120" w:beforeLines="50" w:after="120" w:afterLines="50" w:line="360" w:lineRule="auto"/>
        <w:ind w:right="-50" w:firstLine="840" w:firstLineChars="350"/>
        <w:rPr>
          <w:rFonts w:ascii="宋体" w:hAnsi="宋体"/>
          <w:sz w:val="24"/>
          <w:szCs w:val="28"/>
        </w:rPr>
      </w:pPr>
      <w:r>
        <w:rPr>
          <w:rFonts w:hint="eastAsia" w:ascii="宋体" w:hAnsi="宋体"/>
          <w:sz w:val="24"/>
          <w:szCs w:val="28"/>
        </w:rPr>
        <w:t>供应商名称（盖公章）：</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p>
    <w:p>
      <w:pPr>
        <w:snapToGrid w:val="0"/>
        <w:spacing w:before="120" w:beforeLines="50" w:after="120" w:afterLines="50" w:line="360" w:lineRule="auto"/>
        <w:ind w:right="-50" w:firstLine="840" w:firstLineChars="350"/>
        <w:rPr>
          <w:rFonts w:ascii="宋体" w:hAnsi="宋体"/>
          <w:sz w:val="24"/>
          <w:szCs w:val="28"/>
        </w:rPr>
      </w:pPr>
      <w:r>
        <w:rPr>
          <w:rFonts w:hint="eastAsia" w:ascii="宋体" w:hAnsi="宋体"/>
          <w:sz w:val="24"/>
          <w:szCs w:val="28"/>
        </w:rPr>
        <w:t>法定代表人（签字或盖私章）：</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p>
    <w:p>
      <w:pPr>
        <w:snapToGrid w:val="0"/>
        <w:spacing w:before="120" w:beforeLines="50" w:after="120" w:afterLines="50" w:line="360" w:lineRule="auto"/>
        <w:ind w:right="-50" w:firstLine="840" w:firstLineChars="350"/>
        <w:rPr>
          <w:rFonts w:ascii="宋体" w:hAnsi="宋体"/>
          <w:sz w:val="24"/>
          <w:szCs w:val="28"/>
        </w:rPr>
      </w:pPr>
      <w:r>
        <w:rPr>
          <w:rFonts w:hint="eastAsia" w:ascii="宋体" w:hAnsi="宋体"/>
          <w:sz w:val="24"/>
          <w:szCs w:val="28"/>
        </w:rPr>
        <w:t>联 系 人：</w:t>
      </w:r>
      <w:r>
        <w:rPr>
          <w:rFonts w:hint="eastAsia" w:ascii="宋体" w:hAnsi="宋体"/>
          <w:sz w:val="24"/>
          <w:szCs w:val="28"/>
          <w:u w:val="single"/>
        </w:rPr>
        <w:t xml:space="preserve">               </w:t>
      </w:r>
      <w:r>
        <w:rPr>
          <w:rFonts w:hint="eastAsia" w:ascii="宋体" w:hAnsi="宋体"/>
          <w:sz w:val="24"/>
          <w:szCs w:val="28"/>
        </w:rPr>
        <w:t xml:space="preserve"> 联系电话：</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p>
    <w:p>
      <w:pPr>
        <w:snapToGrid w:val="0"/>
        <w:spacing w:before="120" w:beforeLines="50" w:after="120" w:afterLines="50" w:line="360" w:lineRule="auto"/>
        <w:ind w:right="-50" w:firstLine="840" w:firstLineChars="350"/>
        <w:rPr>
          <w:rFonts w:ascii="宋体" w:hAnsi="宋体"/>
          <w:sz w:val="24"/>
          <w:szCs w:val="28"/>
          <w:u w:val="single"/>
        </w:rPr>
      </w:pPr>
      <w:r>
        <w:rPr>
          <w:rFonts w:hint="eastAsia" w:ascii="宋体" w:hAnsi="宋体"/>
          <w:sz w:val="24"/>
          <w:szCs w:val="28"/>
        </w:rPr>
        <w:t>日期：</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年  </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月  </w:t>
      </w:r>
      <w:r>
        <w:rPr>
          <w:rFonts w:ascii="宋体" w:hAnsi="宋体"/>
          <w:sz w:val="24"/>
          <w:szCs w:val="28"/>
          <w:u w:val="single"/>
        </w:rPr>
        <w:t xml:space="preserve"> </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日 </w:t>
      </w:r>
      <w:r>
        <w:rPr>
          <w:rFonts w:ascii="宋体" w:hAnsi="宋体"/>
          <w:sz w:val="24"/>
          <w:szCs w:val="28"/>
          <w:u w:val="single"/>
        </w:rPr>
        <w:t xml:space="preserve">             </w:t>
      </w:r>
    </w:p>
    <w:p>
      <w:pPr>
        <w:pStyle w:val="5"/>
        <w:ind w:firstLine="0"/>
        <w:rPr>
          <w:rFonts w:ascii="宋体" w:hAnsi="宋体"/>
          <w:b/>
          <w:color w:val="000000"/>
          <w:sz w:val="28"/>
          <w:szCs w:val="28"/>
        </w:rPr>
      </w:pPr>
      <w:r>
        <w:rPr>
          <w:rFonts w:hint="eastAsia" w:ascii="宋体" w:hAnsi="宋体"/>
          <w:b/>
          <w:color w:val="000000"/>
          <w:sz w:val="28"/>
          <w:szCs w:val="28"/>
        </w:rPr>
        <w:br w:type="page"/>
      </w:r>
      <w:r>
        <w:rPr>
          <w:rFonts w:hint="eastAsia" w:ascii="宋体" w:hAnsi="宋体"/>
          <w:b/>
          <w:color w:val="000000"/>
          <w:sz w:val="28"/>
          <w:szCs w:val="28"/>
        </w:rPr>
        <w:t>二、报价表及支付方式</w:t>
      </w:r>
    </w:p>
    <w:p>
      <w:pPr>
        <w:spacing w:after="120" w:afterLines="50" w:line="460" w:lineRule="exact"/>
        <w:jc w:val="center"/>
        <w:rPr>
          <w:rFonts w:ascii="宋体" w:hAnsi="宋体"/>
          <w:b/>
          <w:color w:val="000000"/>
          <w:sz w:val="28"/>
          <w:szCs w:val="28"/>
        </w:rPr>
      </w:pPr>
    </w:p>
    <w:p>
      <w:pPr>
        <w:spacing w:after="120" w:afterLines="50" w:line="460" w:lineRule="exact"/>
        <w:jc w:val="center"/>
        <w:rPr>
          <w:rFonts w:ascii="宋体" w:hAnsi="宋体"/>
          <w:b/>
          <w:color w:val="000000"/>
          <w:sz w:val="28"/>
          <w:szCs w:val="28"/>
        </w:rPr>
      </w:pPr>
      <w:r>
        <w:rPr>
          <w:rFonts w:hint="eastAsia" w:ascii="宋体" w:hAnsi="宋体"/>
          <w:b/>
          <w:color w:val="000000"/>
          <w:sz w:val="28"/>
          <w:szCs w:val="28"/>
        </w:rPr>
        <w:t>报价表及支付方式</w:t>
      </w:r>
    </w:p>
    <w:p>
      <w:pPr>
        <w:widowControl/>
        <w:spacing w:line="460" w:lineRule="exact"/>
        <w:rPr>
          <w:rFonts w:ascii="宋体" w:hAnsi="宋体"/>
          <w:color w:val="000000"/>
          <w:sz w:val="24"/>
          <w:szCs w:val="24"/>
        </w:rPr>
      </w:pPr>
      <w:r>
        <w:rPr>
          <w:rFonts w:hint="eastAsia" w:ascii="宋体" w:hAnsi="宋体"/>
          <w:color w:val="000000"/>
          <w:sz w:val="24"/>
          <w:szCs w:val="24"/>
        </w:rPr>
        <w:t>项目名称：佛山电器照明股份有限公司合规管理体系建设咨询服务项目</w:t>
      </w:r>
    </w:p>
    <w:p>
      <w:pPr>
        <w:spacing w:line="360" w:lineRule="auto"/>
        <w:ind w:firstLine="480" w:firstLineChars="200"/>
        <w:rPr>
          <w:rFonts w:ascii="宋体" w:hAnsi="宋体"/>
          <w:color w:val="000000"/>
          <w:sz w:val="24"/>
          <w:szCs w:val="24"/>
        </w:rPr>
      </w:pPr>
    </w:p>
    <w:p>
      <w:pPr>
        <w:ind w:right="960"/>
        <w:jc w:val="right"/>
        <w:rPr>
          <w:rFonts w:ascii="宋体" w:hAnsi="宋体"/>
          <w:color w:val="000000"/>
          <w:sz w:val="24"/>
          <w:szCs w:val="24"/>
        </w:rPr>
      </w:pPr>
      <w:r>
        <w:rPr>
          <w:rFonts w:hint="eastAsia" w:ascii="宋体" w:hAnsi="宋体"/>
          <w:color w:val="000000"/>
          <w:sz w:val="24"/>
          <w:szCs w:val="24"/>
        </w:rPr>
        <w:t>金额单位：人民币元</w:t>
      </w:r>
    </w:p>
    <w:tbl>
      <w:tblPr>
        <w:tblStyle w:val="61"/>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721"/>
        <w:gridCol w:w="2673"/>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1620" w:type="dxa"/>
            <w:vMerge w:val="restart"/>
            <w:vAlign w:val="center"/>
          </w:tcPr>
          <w:p>
            <w:pPr>
              <w:autoSpaceDN w:val="0"/>
              <w:jc w:val="center"/>
              <w:textAlignment w:val="center"/>
              <w:rPr>
                <w:rFonts w:ascii="宋体" w:hAnsi="宋体"/>
                <w:b/>
                <w:color w:val="000000"/>
                <w:sz w:val="28"/>
              </w:rPr>
            </w:pPr>
            <w:r>
              <w:rPr>
                <w:rFonts w:hint="eastAsia" w:ascii="宋体" w:hAnsi="宋体"/>
                <w:b/>
                <w:color w:val="000000"/>
                <w:sz w:val="28"/>
              </w:rPr>
              <w:t>供应商</w:t>
            </w:r>
          </w:p>
          <w:p>
            <w:pPr>
              <w:autoSpaceDN w:val="0"/>
              <w:jc w:val="center"/>
              <w:textAlignment w:val="center"/>
              <w:rPr>
                <w:rFonts w:ascii="宋体" w:hAnsi="宋体"/>
                <w:b/>
                <w:color w:val="000000"/>
                <w:sz w:val="28"/>
              </w:rPr>
            </w:pPr>
            <w:r>
              <w:rPr>
                <w:rFonts w:hint="eastAsia" w:ascii="宋体" w:hAnsi="宋体"/>
                <w:b/>
                <w:color w:val="000000"/>
                <w:sz w:val="28"/>
              </w:rPr>
              <w:t>名称</w:t>
            </w:r>
          </w:p>
        </w:tc>
        <w:tc>
          <w:tcPr>
            <w:tcW w:w="5394" w:type="dxa"/>
            <w:gridSpan w:val="2"/>
            <w:vAlign w:val="center"/>
          </w:tcPr>
          <w:p>
            <w:pPr>
              <w:autoSpaceDN w:val="0"/>
              <w:jc w:val="center"/>
              <w:textAlignment w:val="center"/>
              <w:rPr>
                <w:rFonts w:ascii="宋体" w:hAnsi="宋体"/>
                <w:b/>
                <w:color w:val="000000"/>
                <w:sz w:val="28"/>
              </w:rPr>
            </w:pPr>
            <w:r>
              <w:rPr>
                <w:rFonts w:hint="eastAsia" w:ascii="宋体" w:hAnsi="宋体"/>
                <w:b/>
                <w:color w:val="000000"/>
                <w:sz w:val="28"/>
              </w:rPr>
              <w:t>报价</w:t>
            </w:r>
          </w:p>
        </w:tc>
        <w:tc>
          <w:tcPr>
            <w:tcW w:w="2844" w:type="dxa"/>
            <w:vMerge w:val="restart"/>
            <w:vAlign w:val="center"/>
          </w:tcPr>
          <w:p>
            <w:pPr>
              <w:autoSpaceDN w:val="0"/>
              <w:jc w:val="center"/>
              <w:textAlignment w:val="center"/>
              <w:rPr>
                <w:rFonts w:ascii="宋体" w:hAnsi="宋体"/>
                <w:b/>
                <w:color w:val="000000"/>
                <w:sz w:val="28"/>
              </w:rPr>
            </w:pPr>
            <w:r>
              <w:rPr>
                <w:rFonts w:hint="eastAsia" w:ascii="宋体" w:hAnsi="宋体"/>
                <w:b/>
                <w:color w:val="000000"/>
                <w:sz w:val="28"/>
              </w:rPr>
              <w:t>支付方式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3" w:hRule="atLeast"/>
          <w:jc w:val="center"/>
        </w:trPr>
        <w:tc>
          <w:tcPr>
            <w:tcW w:w="1620" w:type="dxa"/>
            <w:vMerge w:val="continue"/>
            <w:vAlign w:val="center"/>
          </w:tcPr>
          <w:p>
            <w:pPr>
              <w:autoSpaceDN w:val="0"/>
              <w:jc w:val="center"/>
              <w:textAlignment w:val="center"/>
              <w:rPr>
                <w:rFonts w:ascii="宋体" w:hAnsi="宋体"/>
                <w:b/>
                <w:color w:val="000000"/>
                <w:sz w:val="28"/>
              </w:rPr>
            </w:pPr>
          </w:p>
        </w:tc>
        <w:tc>
          <w:tcPr>
            <w:tcW w:w="2721" w:type="dxa"/>
            <w:vAlign w:val="center"/>
          </w:tcPr>
          <w:p>
            <w:pPr>
              <w:autoSpaceDN w:val="0"/>
              <w:jc w:val="center"/>
              <w:textAlignment w:val="center"/>
              <w:rPr>
                <w:rFonts w:ascii="宋体" w:hAnsi="宋体"/>
                <w:b/>
                <w:color w:val="000000"/>
                <w:sz w:val="28"/>
              </w:rPr>
            </w:pPr>
            <w:r>
              <w:rPr>
                <w:rFonts w:hint="eastAsia" w:ascii="宋体" w:hAnsi="宋体"/>
                <w:b/>
                <w:color w:val="000000"/>
                <w:sz w:val="28"/>
              </w:rPr>
              <w:t>小写</w:t>
            </w:r>
          </w:p>
        </w:tc>
        <w:tc>
          <w:tcPr>
            <w:tcW w:w="2673" w:type="dxa"/>
            <w:vAlign w:val="center"/>
          </w:tcPr>
          <w:p>
            <w:pPr>
              <w:autoSpaceDN w:val="0"/>
              <w:jc w:val="center"/>
              <w:textAlignment w:val="center"/>
              <w:rPr>
                <w:rFonts w:ascii="宋体" w:hAnsi="宋体"/>
                <w:b/>
                <w:color w:val="000000"/>
                <w:sz w:val="28"/>
              </w:rPr>
            </w:pPr>
            <w:r>
              <w:rPr>
                <w:rFonts w:hint="eastAsia" w:ascii="宋体" w:hAnsi="宋体"/>
                <w:b/>
                <w:color w:val="000000"/>
                <w:sz w:val="28"/>
              </w:rPr>
              <w:t>大写</w:t>
            </w:r>
          </w:p>
        </w:tc>
        <w:tc>
          <w:tcPr>
            <w:tcW w:w="2844" w:type="dxa"/>
            <w:vMerge w:val="continue"/>
            <w:vAlign w:val="center"/>
          </w:tcPr>
          <w:p>
            <w:pPr>
              <w:autoSpaceDN w:val="0"/>
              <w:jc w:val="center"/>
              <w:textAlignment w:val="center"/>
              <w:rPr>
                <w:rFonts w:ascii="宋体" w:hAnsi="宋体"/>
                <w:b/>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3" w:hRule="atLeast"/>
          <w:jc w:val="center"/>
        </w:trPr>
        <w:tc>
          <w:tcPr>
            <w:tcW w:w="1620" w:type="dxa"/>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721"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　</w:t>
            </w:r>
          </w:p>
        </w:tc>
        <w:tc>
          <w:tcPr>
            <w:tcW w:w="2673"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　</w:t>
            </w:r>
          </w:p>
        </w:tc>
        <w:tc>
          <w:tcPr>
            <w:tcW w:w="2844"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第一次付款：</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第二次付款：</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第三次付款：</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w:t>
            </w:r>
          </w:p>
        </w:tc>
      </w:tr>
    </w:tbl>
    <w:p>
      <w:pPr>
        <w:spacing w:line="460" w:lineRule="exact"/>
        <w:rPr>
          <w:rFonts w:ascii="宋体" w:hAnsi="宋体"/>
          <w:color w:val="000000"/>
          <w:sz w:val="24"/>
          <w:szCs w:val="24"/>
        </w:rPr>
      </w:pPr>
    </w:p>
    <w:p>
      <w:pPr>
        <w:spacing w:line="460" w:lineRule="exact"/>
        <w:rPr>
          <w:rFonts w:ascii="宋体" w:hAnsi="宋体"/>
          <w:color w:val="000000"/>
          <w:sz w:val="24"/>
          <w:szCs w:val="24"/>
        </w:rPr>
      </w:pPr>
    </w:p>
    <w:p>
      <w:pPr>
        <w:spacing w:line="460" w:lineRule="exact"/>
        <w:rPr>
          <w:rFonts w:ascii="宋体" w:hAnsi="宋体"/>
          <w:color w:val="000000"/>
          <w:sz w:val="24"/>
          <w:szCs w:val="24"/>
        </w:rPr>
      </w:pPr>
    </w:p>
    <w:p>
      <w:pPr>
        <w:spacing w:line="460" w:lineRule="exact"/>
        <w:rPr>
          <w:rFonts w:ascii="宋体" w:hAnsi="宋体"/>
          <w:color w:val="000000"/>
          <w:sz w:val="24"/>
          <w:szCs w:val="24"/>
        </w:rPr>
      </w:pPr>
      <w:r>
        <w:rPr>
          <w:rFonts w:hint="eastAsia" w:ascii="宋体" w:hAnsi="宋体"/>
          <w:color w:val="000000"/>
          <w:sz w:val="24"/>
          <w:szCs w:val="24"/>
        </w:rPr>
        <w:t>注：1、此表的报价价格为总体包干价格，应包括完成本项目工作所需的人工、交通、住宿、餐饮、资料等各项杂费、税费，以及其他可能发生的费用。</w:t>
      </w:r>
    </w:p>
    <w:p>
      <w:pPr>
        <w:spacing w:line="460" w:lineRule="exact"/>
        <w:rPr>
          <w:rFonts w:ascii="宋体" w:hAnsi="宋体"/>
          <w:color w:val="000000"/>
          <w:sz w:val="24"/>
          <w:szCs w:val="24"/>
        </w:rPr>
      </w:pPr>
      <w:r>
        <w:rPr>
          <w:rFonts w:hint="eastAsia" w:ascii="宋体" w:hAnsi="宋体"/>
          <w:color w:val="000000"/>
          <w:sz w:val="24"/>
          <w:szCs w:val="24"/>
        </w:rPr>
        <w:t>2、响应供应商在中标后不得在此价格外要求支付其他费用。</w:t>
      </w:r>
    </w:p>
    <w:p>
      <w:pPr>
        <w:pStyle w:val="5"/>
        <w:ind w:firstLine="0"/>
        <w:rPr>
          <w:rFonts w:ascii="宋体" w:hAnsi="宋体"/>
          <w:b/>
          <w:bCs/>
          <w:sz w:val="24"/>
        </w:rPr>
      </w:pPr>
    </w:p>
    <w:p>
      <w:pPr>
        <w:pStyle w:val="5"/>
        <w:ind w:firstLine="0"/>
        <w:rPr>
          <w:rFonts w:ascii="宋体" w:hAnsi="宋体"/>
          <w:b/>
          <w:bCs/>
          <w:sz w:val="24"/>
        </w:rPr>
      </w:pPr>
    </w:p>
    <w:p>
      <w:pPr>
        <w:pStyle w:val="5"/>
        <w:ind w:firstLine="0"/>
        <w:rPr>
          <w:rFonts w:ascii="宋体" w:hAnsi="宋体"/>
          <w:b/>
          <w:bCs/>
          <w:sz w:val="24"/>
        </w:rPr>
      </w:pPr>
    </w:p>
    <w:p>
      <w:pPr>
        <w:pStyle w:val="5"/>
        <w:ind w:firstLine="0"/>
        <w:rPr>
          <w:rFonts w:ascii="宋体" w:hAnsi="宋体"/>
          <w:b/>
          <w:bCs/>
          <w:sz w:val="24"/>
        </w:rPr>
      </w:pPr>
    </w:p>
    <w:p>
      <w:pPr>
        <w:pStyle w:val="5"/>
        <w:ind w:firstLine="0"/>
        <w:rPr>
          <w:rFonts w:ascii="宋体" w:hAnsi="宋体"/>
          <w:b/>
          <w:bCs/>
          <w:sz w:val="24"/>
        </w:rPr>
      </w:pPr>
    </w:p>
    <w:p>
      <w:pPr>
        <w:pStyle w:val="5"/>
        <w:ind w:firstLine="0"/>
        <w:rPr>
          <w:rFonts w:ascii="宋体" w:hAnsi="宋体"/>
          <w:b/>
          <w:bCs/>
          <w:sz w:val="24"/>
        </w:rPr>
      </w:pPr>
    </w:p>
    <w:p>
      <w:pPr>
        <w:pStyle w:val="5"/>
        <w:ind w:firstLine="0"/>
        <w:rPr>
          <w:rFonts w:ascii="宋体" w:hAnsi="宋体"/>
          <w:b/>
          <w:bCs/>
          <w:sz w:val="24"/>
        </w:rPr>
      </w:pPr>
    </w:p>
    <w:p>
      <w:pPr>
        <w:spacing w:before="240" w:beforeLines="100" w:line="460" w:lineRule="exact"/>
        <w:ind w:left="4515" w:leftChars="2150"/>
        <w:rPr>
          <w:rFonts w:ascii="宋体" w:hAnsi="宋体"/>
          <w:color w:val="000000"/>
          <w:sz w:val="24"/>
          <w:szCs w:val="24"/>
        </w:rPr>
      </w:pPr>
      <w:r>
        <w:rPr>
          <w:rFonts w:hint="eastAsia" w:ascii="宋体" w:hAnsi="宋体"/>
          <w:color w:val="000000"/>
          <w:sz w:val="24"/>
          <w:szCs w:val="24"/>
        </w:rPr>
        <w:t xml:space="preserve">响应供应商（法人公章）：         </w:t>
      </w:r>
    </w:p>
    <w:p>
      <w:pPr>
        <w:spacing w:line="460" w:lineRule="exact"/>
        <w:ind w:left="4515" w:leftChars="2150"/>
        <w:rPr>
          <w:rFonts w:ascii="宋体" w:hAnsi="宋体"/>
          <w:color w:val="000000"/>
          <w:sz w:val="24"/>
          <w:szCs w:val="24"/>
        </w:rPr>
      </w:pPr>
      <w:r>
        <w:rPr>
          <w:rFonts w:hint="eastAsia" w:ascii="宋体" w:hAnsi="宋体"/>
          <w:color w:val="000000"/>
          <w:sz w:val="24"/>
          <w:szCs w:val="24"/>
        </w:rPr>
        <w:t xml:space="preserve">授权代表（签字）：           </w:t>
      </w:r>
    </w:p>
    <w:p>
      <w:pPr>
        <w:spacing w:line="460" w:lineRule="exact"/>
        <w:ind w:left="4515" w:leftChars="2150"/>
        <w:rPr>
          <w:rFonts w:ascii="宋体" w:hAnsi="宋体"/>
          <w:color w:val="000000"/>
          <w:sz w:val="24"/>
          <w:szCs w:val="24"/>
        </w:rPr>
      </w:pPr>
      <w:r>
        <w:rPr>
          <w:rFonts w:hint="eastAsia" w:ascii="宋体" w:hAnsi="宋体"/>
          <w:color w:val="000000"/>
          <w:sz w:val="24"/>
          <w:szCs w:val="24"/>
        </w:rPr>
        <w:t xml:space="preserve">日期：                      </w:t>
      </w:r>
    </w:p>
    <w:p>
      <w:pPr>
        <w:pStyle w:val="5"/>
        <w:ind w:firstLine="0"/>
        <w:rPr>
          <w:rFonts w:ascii="宋体" w:hAnsi="宋体"/>
          <w:b/>
          <w:bCs/>
          <w:sz w:val="24"/>
        </w:rPr>
      </w:pPr>
    </w:p>
    <w:p>
      <w:pPr>
        <w:spacing w:line="460" w:lineRule="exact"/>
        <w:rPr>
          <w:rFonts w:ascii="宋体" w:hAnsi="宋体"/>
          <w:b/>
          <w:color w:val="000000"/>
          <w:sz w:val="28"/>
          <w:szCs w:val="28"/>
        </w:rPr>
      </w:pPr>
      <w:r>
        <w:rPr>
          <w:rFonts w:hint="eastAsia" w:ascii="宋体" w:hAnsi="宋体"/>
          <w:b/>
          <w:color w:val="000000"/>
          <w:sz w:val="28"/>
          <w:szCs w:val="28"/>
        </w:rPr>
        <w:br w:type="page"/>
      </w:r>
      <w:r>
        <w:rPr>
          <w:rFonts w:hint="eastAsia" w:ascii="宋体" w:hAnsi="宋体"/>
          <w:b/>
          <w:color w:val="000000"/>
          <w:sz w:val="28"/>
          <w:szCs w:val="28"/>
        </w:rPr>
        <w:t>三、供应商简介</w:t>
      </w:r>
    </w:p>
    <w:p>
      <w:pPr>
        <w:spacing w:line="460" w:lineRule="exact"/>
        <w:jc w:val="center"/>
        <w:rPr>
          <w:rFonts w:ascii="宋体" w:hAnsi="宋体"/>
          <w:b/>
          <w:color w:val="000000"/>
          <w:sz w:val="28"/>
          <w:szCs w:val="28"/>
        </w:rPr>
      </w:pPr>
    </w:p>
    <w:p>
      <w:pPr>
        <w:spacing w:line="460" w:lineRule="exact"/>
        <w:jc w:val="center"/>
        <w:rPr>
          <w:rFonts w:ascii="宋体" w:hAnsi="宋体"/>
          <w:b/>
          <w:color w:val="000000"/>
          <w:sz w:val="28"/>
          <w:szCs w:val="28"/>
        </w:rPr>
      </w:pPr>
      <w:r>
        <w:rPr>
          <w:rFonts w:hint="eastAsia" w:ascii="宋体" w:hAnsi="宋体"/>
          <w:b/>
          <w:color w:val="000000"/>
          <w:sz w:val="28"/>
          <w:szCs w:val="28"/>
        </w:rPr>
        <w:t>供应商简介</w:t>
      </w:r>
    </w:p>
    <w:p>
      <w:pPr>
        <w:spacing w:line="460" w:lineRule="exact"/>
        <w:rPr>
          <w:rFonts w:ascii="宋体" w:hAnsi="宋体"/>
          <w:b/>
          <w:color w:val="000000"/>
          <w:sz w:val="28"/>
          <w:szCs w:val="28"/>
        </w:rPr>
      </w:pPr>
    </w:p>
    <w:p>
      <w:pPr>
        <w:spacing w:line="460" w:lineRule="exact"/>
        <w:rPr>
          <w:rFonts w:ascii="宋体" w:hAnsi="宋体"/>
          <w:bCs/>
          <w:color w:val="000000"/>
          <w:sz w:val="28"/>
          <w:szCs w:val="28"/>
        </w:rPr>
      </w:pPr>
      <w:r>
        <w:rPr>
          <w:rFonts w:hint="eastAsia" w:ascii="宋体" w:hAnsi="宋体"/>
          <w:bCs/>
          <w:color w:val="000000"/>
          <w:sz w:val="28"/>
          <w:szCs w:val="28"/>
        </w:rPr>
        <w:t>响应供应商应以文字形式简要介绍企业概况、历史沿革、资质证书，相关项目业绩经验等，并附上必要的证照、证书、合同资料。</w:t>
      </w:r>
    </w:p>
    <w:p>
      <w:pPr>
        <w:spacing w:line="460" w:lineRule="exact"/>
        <w:rPr>
          <w:rFonts w:ascii="宋体" w:hAnsi="宋体"/>
          <w:b/>
          <w:color w:val="000000"/>
          <w:sz w:val="28"/>
          <w:szCs w:val="28"/>
        </w:rPr>
      </w:pPr>
    </w:p>
    <w:p>
      <w:pPr>
        <w:spacing w:line="460" w:lineRule="exact"/>
        <w:rPr>
          <w:rFonts w:ascii="宋体" w:hAnsi="宋体"/>
          <w:b/>
          <w:color w:val="000000"/>
          <w:sz w:val="28"/>
          <w:szCs w:val="28"/>
          <w:u w:val="single"/>
        </w:rPr>
      </w:pPr>
      <w:r>
        <w:rPr>
          <w:rFonts w:hint="eastAsia" w:ascii="宋体" w:hAnsi="宋体"/>
          <w:b/>
          <w:color w:val="000000"/>
          <w:sz w:val="28"/>
          <w:szCs w:val="28"/>
          <w:u w:val="single"/>
        </w:rPr>
        <w:t>备注：业绩经验请按照评分标准的分类排列，便于评审核实。</w:t>
      </w:r>
    </w:p>
    <w:p>
      <w:pPr>
        <w:spacing w:line="460" w:lineRule="exact"/>
        <w:rPr>
          <w:rFonts w:ascii="宋体" w:hAnsi="宋体"/>
          <w:b/>
          <w:color w:val="000000"/>
          <w:sz w:val="28"/>
          <w:szCs w:val="28"/>
        </w:rPr>
      </w:pPr>
    </w:p>
    <w:p>
      <w:pPr>
        <w:spacing w:line="460" w:lineRule="exact"/>
        <w:rPr>
          <w:rFonts w:ascii="宋体" w:hAnsi="宋体"/>
          <w:b/>
          <w:color w:val="000000"/>
          <w:sz w:val="28"/>
          <w:szCs w:val="28"/>
        </w:rPr>
      </w:pPr>
    </w:p>
    <w:p>
      <w:pPr>
        <w:spacing w:line="460" w:lineRule="exact"/>
        <w:rPr>
          <w:rFonts w:ascii="宋体" w:hAnsi="宋体"/>
          <w:b/>
          <w:color w:val="000000"/>
          <w:sz w:val="28"/>
          <w:szCs w:val="28"/>
        </w:rPr>
      </w:pPr>
    </w:p>
    <w:p>
      <w:pPr>
        <w:spacing w:line="460" w:lineRule="exact"/>
        <w:rPr>
          <w:rFonts w:ascii="宋体" w:hAnsi="宋体"/>
          <w:b/>
          <w:color w:val="000000"/>
          <w:sz w:val="28"/>
          <w:szCs w:val="28"/>
        </w:rPr>
      </w:pPr>
    </w:p>
    <w:p>
      <w:pPr>
        <w:spacing w:line="460" w:lineRule="exact"/>
        <w:rPr>
          <w:rFonts w:ascii="宋体" w:hAnsi="宋体"/>
          <w:b/>
          <w:color w:val="000000"/>
          <w:sz w:val="28"/>
          <w:szCs w:val="28"/>
        </w:rPr>
      </w:pPr>
    </w:p>
    <w:p>
      <w:pPr>
        <w:spacing w:line="460" w:lineRule="exact"/>
        <w:rPr>
          <w:rFonts w:ascii="宋体" w:hAnsi="宋体"/>
          <w:b/>
          <w:color w:val="000000"/>
          <w:sz w:val="28"/>
          <w:szCs w:val="28"/>
        </w:rPr>
      </w:pPr>
    </w:p>
    <w:p>
      <w:pPr>
        <w:spacing w:line="460" w:lineRule="exact"/>
        <w:ind w:left="294" w:hanging="294" w:hangingChars="105"/>
        <w:rPr>
          <w:rFonts w:ascii="宋体" w:hAnsi="宋体"/>
          <w:color w:val="000000"/>
          <w:sz w:val="28"/>
          <w:szCs w:val="28"/>
        </w:rPr>
      </w:pPr>
    </w:p>
    <w:p>
      <w:pPr>
        <w:spacing w:line="460" w:lineRule="exact"/>
        <w:rPr>
          <w:rFonts w:ascii="宋体" w:hAnsi="宋体"/>
          <w:b/>
          <w:color w:val="000000"/>
          <w:sz w:val="28"/>
          <w:szCs w:val="28"/>
        </w:rPr>
      </w:pPr>
      <w:r>
        <w:rPr>
          <w:rFonts w:ascii="宋体" w:hAnsi="宋体"/>
          <w:color w:val="000000"/>
          <w:sz w:val="28"/>
          <w:szCs w:val="28"/>
        </w:rPr>
        <w:br w:type="page"/>
      </w:r>
      <w:r>
        <w:rPr>
          <w:rFonts w:hint="eastAsia" w:ascii="宋体" w:hAnsi="宋体"/>
          <w:b/>
          <w:color w:val="000000"/>
          <w:sz w:val="28"/>
          <w:szCs w:val="28"/>
        </w:rPr>
        <w:t>四、服务方案</w:t>
      </w:r>
    </w:p>
    <w:p>
      <w:pPr>
        <w:spacing w:line="460" w:lineRule="exact"/>
        <w:jc w:val="center"/>
        <w:rPr>
          <w:rFonts w:ascii="宋体" w:hAnsi="宋体"/>
          <w:color w:val="000000"/>
          <w:sz w:val="28"/>
          <w:szCs w:val="28"/>
        </w:rPr>
      </w:pPr>
    </w:p>
    <w:p>
      <w:pPr>
        <w:spacing w:line="460" w:lineRule="exact"/>
        <w:jc w:val="center"/>
        <w:rPr>
          <w:rFonts w:ascii="宋体" w:hAnsi="宋体"/>
          <w:b/>
          <w:bCs/>
          <w:color w:val="000000"/>
          <w:sz w:val="36"/>
          <w:szCs w:val="36"/>
        </w:rPr>
      </w:pPr>
      <w:r>
        <w:rPr>
          <w:rFonts w:hint="eastAsia" w:ascii="宋体" w:hAnsi="宋体"/>
          <w:b/>
          <w:bCs/>
          <w:color w:val="000000"/>
          <w:sz w:val="36"/>
          <w:szCs w:val="36"/>
        </w:rPr>
        <w:t>服务方案</w:t>
      </w:r>
    </w:p>
    <w:p>
      <w:pPr>
        <w:spacing w:line="460" w:lineRule="exact"/>
        <w:rPr>
          <w:rFonts w:ascii="宋体" w:hAnsi="宋体"/>
          <w:color w:val="000000"/>
          <w:sz w:val="28"/>
          <w:szCs w:val="28"/>
        </w:rPr>
      </w:pPr>
      <w:r>
        <w:rPr>
          <w:rFonts w:hint="eastAsia" w:ascii="宋体" w:hAnsi="宋体"/>
          <w:color w:val="000000"/>
          <w:sz w:val="28"/>
          <w:szCs w:val="28"/>
        </w:rPr>
        <w:t>主要内容包括：</w:t>
      </w:r>
    </w:p>
    <w:p>
      <w:pPr>
        <w:spacing w:line="460" w:lineRule="exact"/>
        <w:ind w:firstLine="560" w:firstLineChars="200"/>
        <w:rPr>
          <w:rFonts w:ascii="宋体" w:hAnsi="宋体"/>
          <w:color w:val="000000"/>
          <w:sz w:val="28"/>
          <w:szCs w:val="28"/>
        </w:rPr>
      </w:pPr>
      <w:r>
        <w:rPr>
          <w:rFonts w:hint="eastAsia" w:ascii="宋体" w:hAnsi="宋体"/>
          <w:color w:val="000000"/>
          <w:sz w:val="28"/>
          <w:szCs w:val="28"/>
        </w:rPr>
        <w:t>1. 响应供应商对本项目的情况了解，对本项目实施的分析，提出具体的思路。</w:t>
      </w:r>
    </w:p>
    <w:p>
      <w:pPr>
        <w:spacing w:line="460" w:lineRule="exact"/>
        <w:ind w:firstLine="560" w:firstLineChars="200"/>
        <w:rPr>
          <w:rFonts w:ascii="宋体" w:hAnsi="宋体"/>
          <w:color w:val="000000"/>
          <w:sz w:val="28"/>
          <w:szCs w:val="28"/>
        </w:rPr>
      </w:pPr>
      <w:r>
        <w:rPr>
          <w:rFonts w:hint="eastAsia" w:ascii="宋体" w:hAnsi="宋体"/>
          <w:color w:val="000000"/>
          <w:sz w:val="28"/>
          <w:szCs w:val="28"/>
        </w:rPr>
        <w:t>2. 介绍工作目标、工作措施、工作重点和工作流程。</w:t>
      </w:r>
    </w:p>
    <w:p>
      <w:pPr>
        <w:spacing w:line="460" w:lineRule="exact"/>
        <w:ind w:firstLine="560" w:firstLineChars="200"/>
        <w:rPr>
          <w:rFonts w:ascii="宋体" w:hAnsi="宋体"/>
          <w:color w:val="000000"/>
          <w:sz w:val="28"/>
          <w:szCs w:val="28"/>
        </w:rPr>
      </w:pPr>
      <w:r>
        <w:rPr>
          <w:rFonts w:hint="eastAsia" w:ascii="宋体" w:hAnsi="宋体"/>
          <w:color w:val="000000"/>
          <w:sz w:val="28"/>
          <w:szCs w:val="28"/>
        </w:rPr>
        <w:t>3. 人员配置及业务分工。</w:t>
      </w:r>
    </w:p>
    <w:p>
      <w:pPr>
        <w:spacing w:line="460" w:lineRule="exact"/>
        <w:ind w:firstLine="560" w:firstLineChars="200"/>
        <w:rPr>
          <w:rFonts w:ascii="宋体" w:hAnsi="宋体"/>
          <w:color w:val="000000"/>
          <w:sz w:val="28"/>
          <w:szCs w:val="28"/>
        </w:rPr>
      </w:pPr>
      <w:r>
        <w:rPr>
          <w:rFonts w:hint="eastAsia" w:ascii="宋体" w:hAnsi="宋体"/>
          <w:color w:val="000000"/>
          <w:sz w:val="28"/>
          <w:szCs w:val="28"/>
        </w:rPr>
        <w:t>4. 保证工作实施措施及完成时间。</w:t>
      </w:r>
    </w:p>
    <w:p>
      <w:pPr>
        <w:spacing w:line="460" w:lineRule="exact"/>
        <w:ind w:firstLine="560" w:firstLineChars="200"/>
        <w:rPr>
          <w:rFonts w:ascii="宋体" w:hAnsi="宋体"/>
          <w:color w:val="000000"/>
          <w:sz w:val="28"/>
          <w:szCs w:val="28"/>
        </w:rPr>
      </w:pPr>
      <w:r>
        <w:rPr>
          <w:rFonts w:hint="eastAsia" w:ascii="宋体" w:hAnsi="宋体"/>
          <w:color w:val="000000"/>
          <w:sz w:val="28"/>
          <w:szCs w:val="28"/>
        </w:rPr>
        <w:t>5. 协调沟通机制。</w:t>
      </w:r>
    </w:p>
    <w:p>
      <w:pPr>
        <w:spacing w:line="460" w:lineRule="exact"/>
        <w:ind w:firstLine="560" w:firstLineChars="200"/>
        <w:rPr>
          <w:rFonts w:ascii="宋体" w:hAnsi="宋体"/>
          <w:color w:val="000000"/>
          <w:sz w:val="28"/>
          <w:szCs w:val="28"/>
        </w:rPr>
      </w:pPr>
      <w:r>
        <w:rPr>
          <w:rFonts w:hint="eastAsia" w:ascii="宋体" w:hAnsi="宋体"/>
          <w:color w:val="000000"/>
          <w:sz w:val="28"/>
          <w:szCs w:val="28"/>
        </w:rPr>
        <w:t>6. 响应供应商认为有必要说明的情况或提供相关附件资料等。</w:t>
      </w:r>
    </w:p>
    <w:p>
      <w:pPr>
        <w:spacing w:line="460" w:lineRule="exact"/>
        <w:rPr>
          <w:rFonts w:ascii="宋体" w:hAnsi="宋体"/>
          <w:b/>
          <w:color w:val="000000"/>
          <w:sz w:val="28"/>
          <w:szCs w:val="28"/>
        </w:rPr>
      </w:pPr>
    </w:p>
    <w:p>
      <w:pPr>
        <w:spacing w:line="460" w:lineRule="exact"/>
        <w:rPr>
          <w:rFonts w:ascii="宋体" w:hAnsi="宋体"/>
          <w:b/>
          <w:color w:val="000000"/>
          <w:sz w:val="28"/>
          <w:szCs w:val="28"/>
          <w:u w:val="single"/>
        </w:rPr>
      </w:pPr>
      <w:r>
        <w:rPr>
          <w:rFonts w:hint="eastAsia" w:ascii="宋体" w:hAnsi="宋体"/>
          <w:b/>
          <w:color w:val="000000"/>
          <w:sz w:val="28"/>
          <w:szCs w:val="28"/>
          <w:u w:val="single"/>
        </w:rPr>
        <w:t>备注：具体目录可由供应商结合实际编写。</w:t>
      </w:r>
    </w:p>
    <w:p>
      <w:pPr>
        <w:spacing w:line="460" w:lineRule="exact"/>
        <w:rPr>
          <w:rFonts w:ascii="宋体" w:hAnsi="宋体"/>
          <w:b/>
          <w:color w:val="000000"/>
          <w:sz w:val="28"/>
          <w:szCs w:val="28"/>
        </w:rPr>
      </w:pPr>
    </w:p>
    <w:p>
      <w:pPr>
        <w:spacing w:line="460" w:lineRule="exact"/>
        <w:rPr>
          <w:rFonts w:ascii="宋体" w:hAnsi="宋体"/>
          <w:color w:val="000000"/>
          <w:sz w:val="28"/>
          <w:szCs w:val="28"/>
        </w:rPr>
      </w:pPr>
    </w:p>
    <w:p>
      <w:pPr>
        <w:spacing w:line="460" w:lineRule="exact"/>
        <w:ind w:left="447" w:leftChars="213" w:right="-10" w:rightChars="-5"/>
        <w:rPr>
          <w:rFonts w:ascii="宋体" w:hAnsi="宋体"/>
          <w:color w:val="000000"/>
          <w:sz w:val="28"/>
          <w:szCs w:val="28"/>
        </w:rPr>
      </w:pPr>
    </w:p>
    <w:p>
      <w:pPr>
        <w:rPr>
          <w:rFonts w:ascii="宋体" w:hAnsi="宋体"/>
          <w:color w:val="000000"/>
          <w:sz w:val="28"/>
          <w:szCs w:val="28"/>
        </w:rPr>
      </w:pPr>
    </w:p>
    <w:p>
      <w:pPr>
        <w:widowControl/>
        <w:spacing w:after="200" w:line="276" w:lineRule="auto"/>
        <w:jc w:val="left"/>
        <w:rPr>
          <w:rFonts w:ascii="宋体" w:hAnsi="宋体" w:eastAsia="仿宋_GB2312" w:cs="微软雅黑"/>
          <w:b/>
          <w:kern w:val="0"/>
          <w:sz w:val="28"/>
          <w:szCs w:val="28"/>
        </w:rPr>
        <w:sectPr>
          <w:headerReference r:id="rId7" w:type="default"/>
          <w:footerReference r:id="rId8" w:type="default"/>
          <w:pgSz w:w="11906" w:h="16838"/>
          <w:pgMar w:top="1440" w:right="1417" w:bottom="1440" w:left="1417" w:header="568" w:footer="623" w:gutter="0"/>
          <w:cols w:space="720" w:num="1"/>
          <w:docGrid w:linePitch="312" w:charSpace="0"/>
        </w:sectPr>
      </w:pPr>
    </w:p>
    <w:p>
      <w:pPr>
        <w:spacing w:line="460" w:lineRule="exact"/>
        <w:rPr>
          <w:rFonts w:ascii="宋体" w:hAnsi="宋体"/>
          <w:b/>
          <w:color w:val="000000"/>
          <w:sz w:val="28"/>
          <w:szCs w:val="28"/>
        </w:rPr>
      </w:pPr>
      <w:r>
        <w:rPr>
          <w:rFonts w:hint="eastAsia" w:ascii="宋体" w:hAnsi="宋体"/>
          <w:b/>
          <w:color w:val="000000"/>
          <w:sz w:val="28"/>
          <w:szCs w:val="28"/>
        </w:rPr>
        <w:t>五、项目团队人员配置</w:t>
      </w:r>
    </w:p>
    <w:p>
      <w:pPr>
        <w:kinsoku w:val="0"/>
        <w:overflowPunct w:val="0"/>
        <w:autoSpaceDE w:val="0"/>
        <w:autoSpaceDN w:val="0"/>
        <w:adjustRightInd w:val="0"/>
        <w:snapToGrid w:val="0"/>
        <w:spacing w:line="360" w:lineRule="auto"/>
        <w:jc w:val="center"/>
        <w:rPr>
          <w:rFonts w:ascii="宋体" w:hAnsi="宋体" w:eastAsia="仿宋_GB2312" w:cs="微软雅黑"/>
          <w:b/>
          <w:kern w:val="0"/>
          <w:sz w:val="28"/>
          <w:szCs w:val="28"/>
        </w:rPr>
      </w:pPr>
      <w:r>
        <w:rPr>
          <w:rFonts w:hint="eastAsia" w:ascii="宋体" w:hAnsi="宋体" w:eastAsia="仿宋_GB2312" w:cs="微软雅黑"/>
          <w:b/>
          <w:kern w:val="0"/>
          <w:sz w:val="28"/>
          <w:szCs w:val="28"/>
        </w:rPr>
        <w:t>项目团队人员情况汇总</w:t>
      </w:r>
    </w:p>
    <w:tbl>
      <w:tblPr>
        <w:tblStyle w:val="61"/>
        <w:tblW w:w="140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140"/>
        <w:gridCol w:w="864"/>
        <w:gridCol w:w="2220"/>
        <w:gridCol w:w="1476"/>
        <w:gridCol w:w="3227"/>
        <w:gridCol w:w="1905"/>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2" w:type="dxa"/>
            <w:vAlign w:val="center"/>
          </w:tcPr>
          <w:p>
            <w:pPr>
              <w:widowControl/>
              <w:jc w:val="center"/>
              <w:rPr>
                <w:rFonts w:ascii="仿宋" w:hAnsi="仿宋" w:eastAsia="仿宋" w:cs="宋体"/>
                <w:kern w:val="0"/>
                <w:sz w:val="28"/>
                <w:szCs w:val="28"/>
                <w:lang w:val="zh-CN"/>
              </w:rPr>
            </w:pPr>
            <w:r>
              <w:rPr>
                <w:rFonts w:ascii="StempelGaramond Roman" w:hAnsi="StempelGaramond Roman" w:eastAsia="仿宋_GB2312"/>
                <w:b/>
                <w:bCs/>
                <w:kern w:val="0"/>
                <w:sz w:val="28"/>
                <w:szCs w:val="28"/>
              </w:rPr>
              <w:t>序号</w:t>
            </w:r>
          </w:p>
        </w:tc>
        <w:tc>
          <w:tcPr>
            <w:tcW w:w="1140" w:type="dxa"/>
            <w:vAlign w:val="center"/>
          </w:tcPr>
          <w:p>
            <w:pPr>
              <w:widowControl/>
              <w:jc w:val="center"/>
              <w:rPr>
                <w:rFonts w:ascii="仿宋" w:hAnsi="仿宋" w:eastAsia="仿宋" w:cs="宋体"/>
                <w:kern w:val="0"/>
                <w:sz w:val="28"/>
                <w:szCs w:val="28"/>
                <w:lang w:val="zh-CN"/>
              </w:rPr>
            </w:pPr>
            <w:r>
              <w:rPr>
                <w:rFonts w:ascii="StempelGaramond Roman" w:hAnsi="StempelGaramond Roman" w:eastAsia="仿宋_GB2312"/>
                <w:b/>
                <w:bCs/>
                <w:kern w:val="0"/>
                <w:sz w:val="28"/>
                <w:szCs w:val="28"/>
              </w:rPr>
              <w:t>姓名</w:t>
            </w:r>
          </w:p>
        </w:tc>
        <w:tc>
          <w:tcPr>
            <w:tcW w:w="864" w:type="dxa"/>
            <w:vAlign w:val="center"/>
          </w:tcPr>
          <w:p>
            <w:pPr>
              <w:widowControl/>
              <w:jc w:val="center"/>
              <w:rPr>
                <w:rFonts w:ascii="仿宋" w:hAnsi="仿宋" w:eastAsia="仿宋" w:cs="宋体"/>
                <w:kern w:val="0"/>
                <w:sz w:val="28"/>
                <w:szCs w:val="28"/>
                <w:lang w:val="zh-CN"/>
              </w:rPr>
            </w:pPr>
            <w:r>
              <w:rPr>
                <w:rFonts w:ascii="StempelGaramond Roman" w:hAnsi="StempelGaramond Roman" w:eastAsia="仿宋_GB2312"/>
                <w:b/>
                <w:bCs/>
                <w:kern w:val="0"/>
                <w:sz w:val="28"/>
                <w:szCs w:val="28"/>
              </w:rPr>
              <w:t>年龄</w:t>
            </w:r>
          </w:p>
        </w:tc>
        <w:tc>
          <w:tcPr>
            <w:tcW w:w="2220" w:type="dxa"/>
            <w:vAlign w:val="center"/>
          </w:tcPr>
          <w:p>
            <w:pPr>
              <w:widowControl/>
              <w:jc w:val="center"/>
              <w:rPr>
                <w:rFonts w:ascii="仿宋" w:hAnsi="仿宋" w:eastAsia="仿宋" w:cs="宋体"/>
                <w:kern w:val="0"/>
                <w:sz w:val="28"/>
                <w:szCs w:val="28"/>
              </w:rPr>
            </w:pPr>
            <w:r>
              <w:rPr>
                <w:rFonts w:hint="eastAsia" w:ascii="StempelGaramond Roman" w:hAnsi="StempelGaramond Roman" w:eastAsia="仿宋_GB2312"/>
                <w:b/>
                <w:bCs/>
                <w:kern w:val="0"/>
                <w:sz w:val="28"/>
                <w:szCs w:val="28"/>
              </w:rPr>
              <w:t>毕业院校及</w:t>
            </w:r>
            <w:r>
              <w:rPr>
                <w:rFonts w:ascii="StempelGaramond Roman" w:hAnsi="StempelGaramond Roman" w:eastAsia="仿宋_GB2312"/>
                <w:b/>
                <w:bCs/>
                <w:kern w:val="0"/>
                <w:sz w:val="28"/>
                <w:szCs w:val="28"/>
              </w:rPr>
              <w:t>学历</w:t>
            </w:r>
          </w:p>
        </w:tc>
        <w:tc>
          <w:tcPr>
            <w:tcW w:w="1476" w:type="dxa"/>
            <w:vAlign w:val="center"/>
          </w:tcPr>
          <w:p>
            <w:pPr>
              <w:widowControl/>
              <w:jc w:val="center"/>
              <w:rPr>
                <w:rFonts w:ascii="仿宋" w:hAnsi="仿宋" w:eastAsia="仿宋" w:cs="宋体"/>
                <w:kern w:val="0"/>
                <w:sz w:val="28"/>
                <w:szCs w:val="28"/>
              </w:rPr>
            </w:pPr>
            <w:r>
              <w:rPr>
                <w:rFonts w:hint="eastAsia" w:ascii="StempelGaramond Roman" w:hAnsi="StempelGaramond Roman" w:eastAsia="仿宋_GB2312"/>
                <w:b/>
                <w:bCs/>
                <w:kern w:val="0"/>
                <w:sz w:val="28"/>
                <w:szCs w:val="28"/>
              </w:rPr>
              <w:t>执业年限</w:t>
            </w:r>
          </w:p>
        </w:tc>
        <w:tc>
          <w:tcPr>
            <w:tcW w:w="3227" w:type="dxa"/>
            <w:vAlign w:val="center"/>
          </w:tcPr>
          <w:p>
            <w:pPr>
              <w:widowControl/>
              <w:jc w:val="center"/>
              <w:rPr>
                <w:rFonts w:ascii="StempelGaramond Roman" w:hAnsi="StempelGaramond Roman" w:eastAsia="仿宋_GB2312"/>
                <w:b/>
                <w:bCs/>
                <w:kern w:val="0"/>
                <w:sz w:val="28"/>
                <w:szCs w:val="28"/>
              </w:rPr>
            </w:pPr>
            <w:r>
              <w:rPr>
                <w:rFonts w:hint="eastAsia" w:ascii="StempelGaramond Roman" w:hAnsi="StempelGaramond Roman" w:eastAsia="仿宋_GB2312"/>
                <w:b/>
                <w:bCs/>
                <w:kern w:val="0"/>
                <w:sz w:val="28"/>
                <w:szCs w:val="28"/>
              </w:rPr>
              <w:t>所获资格、荣誉证书</w:t>
            </w:r>
          </w:p>
          <w:p>
            <w:pPr>
              <w:widowControl/>
              <w:jc w:val="center"/>
              <w:rPr>
                <w:rFonts w:ascii="StempelGaramond Roman" w:hAnsi="StempelGaramond Roman" w:eastAsia="仿宋_GB2312"/>
                <w:b/>
                <w:bCs/>
                <w:kern w:val="0"/>
                <w:sz w:val="28"/>
                <w:szCs w:val="28"/>
              </w:rPr>
            </w:pPr>
            <w:r>
              <w:rPr>
                <w:rFonts w:hint="eastAsia" w:ascii="StempelGaramond Roman" w:hAnsi="StempelGaramond Roman" w:eastAsia="仿宋_GB2312"/>
                <w:b/>
                <w:bCs/>
                <w:kern w:val="0"/>
                <w:sz w:val="28"/>
                <w:szCs w:val="28"/>
              </w:rPr>
              <w:t>、社会兼职</w:t>
            </w:r>
          </w:p>
        </w:tc>
        <w:tc>
          <w:tcPr>
            <w:tcW w:w="1905" w:type="dxa"/>
            <w:vAlign w:val="center"/>
          </w:tcPr>
          <w:p>
            <w:pPr>
              <w:widowControl/>
              <w:jc w:val="center"/>
              <w:rPr>
                <w:rFonts w:ascii="StempelGaramond Roman" w:hAnsi="StempelGaramond Roman" w:eastAsia="仿宋_GB2312"/>
                <w:b/>
                <w:bCs/>
                <w:kern w:val="0"/>
                <w:sz w:val="28"/>
                <w:szCs w:val="28"/>
              </w:rPr>
            </w:pPr>
            <w:r>
              <w:rPr>
                <w:rFonts w:hint="eastAsia" w:ascii="StempelGaramond Roman" w:hAnsi="StempelGaramond Roman" w:eastAsia="仿宋_GB2312"/>
                <w:b/>
                <w:bCs/>
                <w:kern w:val="0"/>
                <w:sz w:val="28"/>
                <w:szCs w:val="28"/>
              </w:rPr>
              <w:t>主要项目业绩</w:t>
            </w:r>
          </w:p>
        </w:tc>
        <w:tc>
          <w:tcPr>
            <w:tcW w:w="2537" w:type="dxa"/>
            <w:vAlign w:val="center"/>
          </w:tcPr>
          <w:p>
            <w:pPr>
              <w:widowControl/>
              <w:jc w:val="center"/>
              <w:rPr>
                <w:rFonts w:ascii="StempelGaramond Roman" w:hAnsi="StempelGaramond Roman" w:eastAsia="仿宋_GB2312"/>
                <w:b/>
                <w:bCs/>
                <w:kern w:val="0"/>
                <w:sz w:val="28"/>
                <w:szCs w:val="28"/>
              </w:rPr>
            </w:pPr>
            <w:r>
              <w:rPr>
                <w:rFonts w:hint="eastAsia" w:ascii="StempelGaramond Roman" w:hAnsi="StempelGaramond Roman" w:eastAsia="仿宋_GB2312"/>
                <w:b/>
                <w:bCs/>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2" w:hRule="atLeast"/>
          <w:jc w:val="center"/>
        </w:trPr>
        <w:tc>
          <w:tcPr>
            <w:tcW w:w="662" w:type="dxa"/>
            <w:vAlign w:val="center"/>
          </w:tcPr>
          <w:p>
            <w:pPr>
              <w:widowControl/>
              <w:shd w:val="clear" w:color="auto" w:fill="FFFFFF"/>
              <w:wordWrap w:val="0"/>
              <w:jc w:val="center"/>
              <w:rPr>
                <w:rFonts w:ascii="仿宋" w:hAnsi="仿宋" w:eastAsia="仿宋" w:cs="宋体"/>
                <w:kern w:val="0"/>
                <w:sz w:val="28"/>
                <w:szCs w:val="22"/>
                <w:lang w:val="zh-CN"/>
              </w:rPr>
            </w:pPr>
            <w:r>
              <w:rPr>
                <w:rFonts w:hint="eastAsia" w:ascii="仿宋_GB2312" w:hAnsi="StempelGaramond Roman" w:eastAsia="仿宋_GB2312"/>
                <w:bCs/>
                <w:kern w:val="0"/>
                <w:sz w:val="30"/>
                <w:szCs w:val="30"/>
              </w:rPr>
              <w:t>1</w:t>
            </w:r>
          </w:p>
        </w:tc>
        <w:tc>
          <w:tcPr>
            <w:tcW w:w="1140" w:type="dxa"/>
            <w:vAlign w:val="center"/>
          </w:tcPr>
          <w:p>
            <w:pPr>
              <w:widowControl/>
              <w:spacing w:before="120" w:after="200" w:line="560" w:lineRule="exact"/>
              <w:jc w:val="center"/>
              <w:rPr>
                <w:rFonts w:ascii="仿宋" w:hAnsi="仿宋" w:eastAsia="仿宋" w:cs="宋体"/>
                <w:kern w:val="0"/>
                <w:sz w:val="28"/>
                <w:szCs w:val="22"/>
                <w:lang w:val="zh-CN"/>
              </w:rPr>
            </w:pPr>
          </w:p>
        </w:tc>
        <w:tc>
          <w:tcPr>
            <w:tcW w:w="864" w:type="dxa"/>
            <w:vAlign w:val="center"/>
          </w:tcPr>
          <w:p>
            <w:pPr>
              <w:widowControl/>
              <w:spacing w:before="120" w:after="200" w:line="560" w:lineRule="exact"/>
              <w:jc w:val="center"/>
              <w:rPr>
                <w:rFonts w:ascii="仿宋" w:hAnsi="仿宋" w:eastAsia="仿宋" w:cs="宋体"/>
                <w:kern w:val="0"/>
                <w:sz w:val="28"/>
                <w:szCs w:val="22"/>
                <w:lang w:val="zh-CN"/>
              </w:rPr>
            </w:pPr>
          </w:p>
        </w:tc>
        <w:tc>
          <w:tcPr>
            <w:tcW w:w="2220" w:type="dxa"/>
            <w:vAlign w:val="center"/>
          </w:tcPr>
          <w:p>
            <w:pPr>
              <w:widowControl/>
              <w:spacing w:before="120" w:after="200" w:line="560" w:lineRule="exact"/>
              <w:jc w:val="center"/>
              <w:rPr>
                <w:rFonts w:ascii="仿宋" w:hAnsi="仿宋" w:eastAsia="仿宋" w:cs="宋体"/>
                <w:kern w:val="0"/>
                <w:sz w:val="28"/>
                <w:szCs w:val="22"/>
              </w:rPr>
            </w:pPr>
          </w:p>
        </w:tc>
        <w:tc>
          <w:tcPr>
            <w:tcW w:w="1476" w:type="dxa"/>
            <w:vAlign w:val="center"/>
          </w:tcPr>
          <w:p>
            <w:pPr>
              <w:widowControl/>
              <w:spacing w:before="120" w:after="200" w:line="560" w:lineRule="exact"/>
              <w:jc w:val="center"/>
              <w:rPr>
                <w:rFonts w:ascii="仿宋" w:hAnsi="仿宋" w:eastAsia="仿宋" w:cs="宋体"/>
                <w:kern w:val="0"/>
                <w:sz w:val="28"/>
                <w:szCs w:val="22"/>
              </w:rPr>
            </w:pPr>
          </w:p>
        </w:tc>
        <w:tc>
          <w:tcPr>
            <w:tcW w:w="3227" w:type="dxa"/>
            <w:vAlign w:val="center"/>
          </w:tcPr>
          <w:p>
            <w:pPr>
              <w:widowControl/>
              <w:spacing w:before="120" w:after="200" w:line="560" w:lineRule="exact"/>
              <w:jc w:val="center"/>
              <w:rPr>
                <w:rFonts w:ascii="仿宋" w:hAnsi="仿宋" w:eastAsia="仿宋" w:cs="宋体"/>
                <w:kern w:val="0"/>
                <w:sz w:val="28"/>
                <w:szCs w:val="22"/>
              </w:rPr>
            </w:pPr>
          </w:p>
        </w:tc>
        <w:tc>
          <w:tcPr>
            <w:tcW w:w="1905" w:type="dxa"/>
            <w:vAlign w:val="center"/>
          </w:tcPr>
          <w:p>
            <w:pPr>
              <w:widowControl/>
              <w:spacing w:before="120" w:after="200" w:line="560" w:lineRule="exact"/>
              <w:jc w:val="center"/>
              <w:rPr>
                <w:rFonts w:ascii="仿宋" w:hAnsi="仿宋" w:eastAsia="仿宋" w:cs="宋体"/>
                <w:kern w:val="0"/>
                <w:sz w:val="28"/>
                <w:szCs w:val="22"/>
              </w:rPr>
            </w:pPr>
          </w:p>
        </w:tc>
        <w:tc>
          <w:tcPr>
            <w:tcW w:w="2537" w:type="dxa"/>
            <w:vAlign w:val="center"/>
          </w:tcPr>
          <w:p>
            <w:pPr>
              <w:widowControl/>
              <w:spacing w:before="120" w:after="200" w:line="560" w:lineRule="exact"/>
              <w:jc w:val="center"/>
              <w:rPr>
                <w:rFonts w:ascii="仿宋" w:hAnsi="仿宋" w:eastAsia="仿宋" w:cs="宋体"/>
                <w:kern w:val="0"/>
                <w:sz w:val="28"/>
                <w:szCs w:val="22"/>
              </w:rPr>
            </w:pPr>
            <w:r>
              <w:rPr>
                <w:rFonts w:hint="eastAsia" w:ascii="仿宋" w:hAnsi="仿宋" w:eastAsia="仿宋" w:cs="宋体"/>
                <w:kern w:val="0"/>
                <w:sz w:val="28"/>
                <w:szCs w:val="22"/>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7" w:hRule="atLeast"/>
          <w:jc w:val="center"/>
        </w:trPr>
        <w:tc>
          <w:tcPr>
            <w:tcW w:w="662" w:type="dxa"/>
            <w:vAlign w:val="center"/>
          </w:tcPr>
          <w:p>
            <w:pPr>
              <w:widowControl/>
              <w:shd w:val="clear" w:color="auto" w:fill="FFFFFF"/>
              <w:wordWrap w:val="0"/>
              <w:jc w:val="center"/>
              <w:rPr>
                <w:rFonts w:ascii="仿宋" w:hAnsi="仿宋" w:eastAsia="仿宋"/>
                <w:kern w:val="0"/>
                <w:sz w:val="24"/>
                <w:szCs w:val="22"/>
              </w:rPr>
            </w:pPr>
            <w:r>
              <w:rPr>
                <w:rFonts w:hint="eastAsia" w:ascii="仿宋_GB2312" w:hAnsi="StempelGaramond Roman" w:eastAsia="仿宋_GB2312"/>
                <w:bCs/>
                <w:kern w:val="0"/>
                <w:sz w:val="30"/>
                <w:szCs w:val="30"/>
              </w:rPr>
              <w:t>2</w:t>
            </w:r>
          </w:p>
        </w:tc>
        <w:tc>
          <w:tcPr>
            <w:tcW w:w="1140" w:type="dxa"/>
            <w:vAlign w:val="center"/>
          </w:tcPr>
          <w:p>
            <w:pPr>
              <w:widowControl/>
              <w:spacing w:after="200" w:line="560" w:lineRule="exact"/>
              <w:jc w:val="center"/>
              <w:rPr>
                <w:rFonts w:ascii="仿宋" w:hAnsi="仿宋" w:eastAsia="仿宋"/>
                <w:kern w:val="0"/>
                <w:sz w:val="24"/>
                <w:szCs w:val="22"/>
              </w:rPr>
            </w:pPr>
          </w:p>
        </w:tc>
        <w:tc>
          <w:tcPr>
            <w:tcW w:w="864" w:type="dxa"/>
            <w:vAlign w:val="center"/>
          </w:tcPr>
          <w:p>
            <w:pPr>
              <w:widowControl/>
              <w:spacing w:after="200" w:line="560" w:lineRule="exact"/>
              <w:jc w:val="center"/>
              <w:rPr>
                <w:rFonts w:ascii="仿宋" w:hAnsi="仿宋" w:eastAsia="仿宋"/>
                <w:kern w:val="0"/>
                <w:sz w:val="24"/>
                <w:szCs w:val="22"/>
              </w:rPr>
            </w:pPr>
          </w:p>
        </w:tc>
        <w:tc>
          <w:tcPr>
            <w:tcW w:w="2220" w:type="dxa"/>
            <w:vAlign w:val="center"/>
          </w:tcPr>
          <w:p>
            <w:pPr>
              <w:widowControl/>
              <w:spacing w:after="200" w:line="560" w:lineRule="exact"/>
              <w:jc w:val="center"/>
              <w:rPr>
                <w:rFonts w:ascii="仿宋" w:hAnsi="仿宋" w:eastAsia="仿宋"/>
                <w:kern w:val="0"/>
                <w:sz w:val="24"/>
                <w:szCs w:val="22"/>
              </w:rPr>
            </w:pPr>
          </w:p>
        </w:tc>
        <w:tc>
          <w:tcPr>
            <w:tcW w:w="1476" w:type="dxa"/>
            <w:vAlign w:val="center"/>
          </w:tcPr>
          <w:p>
            <w:pPr>
              <w:widowControl/>
              <w:spacing w:after="200" w:line="560" w:lineRule="exact"/>
              <w:jc w:val="center"/>
              <w:rPr>
                <w:rFonts w:ascii="仿宋" w:hAnsi="仿宋" w:eastAsia="仿宋"/>
                <w:kern w:val="0"/>
                <w:sz w:val="24"/>
                <w:szCs w:val="22"/>
              </w:rPr>
            </w:pPr>
          </w:p>
        </w:tc>
        <w:tc>
          <w:tcPr>
            <w:tcW w:w="3227" w:type="dxa"/>
            <w:vAlign w:val="center"/>
          </w:tcPr>
          <w:p>
            <w:pPr>
              <w:widowControl/>
              <w:spacing w:after="200" w:line="560" w:lineRule="exact"/>
              <w:jc w:val="center"/>
              <w:rPr>
                <w:rFonts w:ascii="仿宋" w:hAnsi="仿宋" w:eastAsia="仿宋"/>
                <w:kern w:val="0"/>
                <w:sz w:val="24"/>
                <w:szCs w:val="22"/>
              </w:rPr>
            </w:pPr>
          </w:p>
        </w:tc>
        <w:tc>
          <w:tcPr>
            <w:tcW w:w="1905" w:type="dxa"/>
            <w:vAlign w:val="center"/>
          </w:tcPr>
          <w:p>
            <w:pPr>
              <w:widowControl/>
              <w:spacing w:after="200" w:line="560" w:lineRule="exact"/>
              <w:jc w:val="center"/>
              <w:rPr>
                <w:rFonts w:ascii="仿宋" w:hAnsi="仿宋" w:eastAsia="仿宋"/>
                <w:kern w:val="0"/>
                <w:sz w:val="24"/>
                <w:szCs w:val="22"/>
              </w:rPr>
            </w:pPr>
          </w:p>
        </w:tc>
        <w:tc>
          <w:tcPr>
            <w:tcW w:w="2537" w:type="dxa"/>
            <w:vAlign w:val="center"/>
          </w:tcPr>
          <w:p>
            <w:pPr>
              <w:widowControl/>
              <w:spacing w:after="200" w:line="560" w:lineRule="exact"/>
              <w:jc w:val="center"/>
              <w:rPr>
                <w:rFonts w:ascii="仿宋" w:hAnsi="仿宋" w:eastAsia="仿宋"/>
                <w:kern w:val="0"/>
                <w:sz w:val="24"/>
                <w:szCs w:val="22"/>
              </w:rPr>
            </w:pPr>
            <w:r>
              <w:rPr>
                <w:rFonts w:hint="eastAsia" w:ascii="仿宋" w:hAnsi="仿宋" w:eastAsia="仿宋"/>
                <w:kern w:val="0"/>
                <w:sz w:val="24"/>
                <w:szCs w:val="22"/>
              </w:rPr>
              <w:t>项目总监（经理）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jc w:val="center"/>
        </w:trPr>
        <w:tc>
          <w:tcPr>
            <w:tcW w:w="662" w:type="dxa"/>
            <w:vAlign w:val="center"/>
          </w:tcPr>
          <w:p>
            <w:pPr>
              <w:widowControl/>
              <w:shd w:val="clear" w:color="auto" w:fill="FFFFFF"/>
              <w:wordWrap w:val="0"/>
              <w:jc w:val="center"/>
              <w:rPr>
                <w:rFonts w:ascii="仿宋" w:hAnsi="仿宋" w:eastAsia="仿宋"/>
                <w:kern w:val="0"/>
                <w:sz w:val="24"/>
                <w:szCs w:val="22"/>
              </w:rPr>
            </w:pPr>
            <w:r>
              <w:rPr>
                <w:rFonts w:hint="eastAsia" w:ascii="仿宋_GB2312" w:hAnsi="StempelGaramond Roman" w:eastAsia="仿宋_GB2312"/>
                <w:bCs/>
                <w:kern w:val="0"/>
                <w:sz w:val="30"/>
                <w:szCs w:val="30"/>
              </w:rPr>
              <w:t>3</w:t>
            </w:r>
          </w:p>
        </w:tc>
        <w:tc>
          <w:tcPr>
            <w:tcW w:w="1140" w:type="dxa"/>
            <w:vAlign w:val="center"/>
          </w:tcPr>
          <w:p>
            <w:pPr>
              <w:widowControl/>
              <w:spacing w:after="200" w:line="560" w:lineRule="exact"/>
              <w:jc w:val="center"/>
              <w:rPr>
                <w:rFonts w:ascii="仿宋" w:hAnsi="仿宋" w:eastAsia="仿宋"/>
                <w:kern w:val="0"/>
                <w:sz w:val="24"/>
                <w:szCs w:val="22"/>
              </w:rPr>
            </w:pPr>
          </w:p>
        </w:tc>
        <w:tc>
          <w:tcPr>
            <w:tcW w:w="864" w:type="dxa"/>
            <w:vAlign w:val="center"/>
          </w:tcPr>
          <w:p>
            <w:pPr>
              <w:widowControl/>
              <w:spacing w:after="200" w:line="560" w:lineRule="exact"/>
              <w:jc w:val="center"/>
              <w:rPr>
                <w:rFonts w:ascii="仿宋" w:hAnsi="仿宋" w:eastAsia="仿宋"/>
                <w:kern w:val="0"/>
                <w:sz w:val="24"/>
                <w:szCs w:val="22"/>
              </w:rPr>
            </w:pPr>
          </w:p>
        </w:tc>
        <w:tc>
          <w:tcPr>
            <w:tcW w:w="2220" w:type="dxa"/>
            <w:vAlign w:val="center"/>
          </w:tcPr>
          <w:p>
            <w:pPr>
              <w:widowControl/>
              <w:spacing w:after="200" w:line="560" w:lineRule="exact"/>
              <w:jc w:val="center"/>
              <w:rPr>
                <w:rFonts w:ascii="仿宋" w:hAnsi="仿宋" w:eastAsia="仿宋"/>
                <w:kern w:val="0"/>
                <w:sz w:val="24"/>
                <w:szCs w:val="22"/>
              </w:rPr>
            </w:pPr>
          </w:p>
        </w:tc>
        <w:tc>
          <w:tcPr>
            <w:tcW w:w="1476" w:type="dxa"/>
            <w:vAlign w:val="center"/>
          </w:tcPr>
          <w:p>
            <w:pPr>
              <w:widowControl/>
              <w:spacing w:after="200" w:line="560" w:lineRule="exact"/>
              <w:jc w:val="center"/>
              <w:rPr>
                <w:rFonts w:ascii="仿宋" w:hAnsi="仿宋" w:eastAsia="仿宋"/>
                <w:kern w:val="0"/>
                <w:sz w:val="24"/>
                <w:szCs w:val="22"/>
              </w:rPr>
            </w:pPr>
          </w:p>
        </w:tc>
        <w:tc>
          <w:tcPr>
            <w:tcW w:w="3227" w:type="dxa"/>
            <w:vAlign w:val="center"/>
          </w:tcPr>
          <w:p>
            <w:pPr>
              <w:widowControl/>
              <w:spacing w:after="200" w:line="560" w:lineRule="exact"/>
              <w:jc w:val="center"/>
              <w:rPr>
                <w:rFonts w:ascii="仿宋" w:hAnsi="仿宋" w:eastAsia="仿宋"/>
                <w:kern w:val="0"/>
                <w:sz w:val="24"/>
                <w:szCs w:val="22"/>
              </w:rPr>
            </w:pPr>
          </w:p>
        </w:tc>
        <w:tc>
          <w:tcPr>
            <w:tcW w:w="1905" w:type="dxa"/>
            <w:vAlign w:val="center"/>
          </w:tcPr>
          <w:p>
            <w:pPr>
              <w:widowControl/>
              <w:spacing w:after="200" w:line="560" w:lineRule="exact"/>
              <w:jc w:val="center"/>
              <w:rPr>
                <w:rFonts w:ascii="仿宋" w:hAnsi="仿宋" w:eastAsia="仿宋"/>
                <w:kern w:val="0"/>
                <w:sz w:val="24"/>
                <w:szCs w:val="22"/>
              </w:rPr>
            </w:pPr>
          </w:p>
        </w:tc>
        <w:tc>
          <w:tcPr>
            <w:tcW w:w="2537" w:type="dxa"/>
            <w:vAlign w:val="center"/>
          </w:tcPr>
          <w:p>
            <w:pPr>
              <w:widowControl/>
              <w:spacing w:after="200" w:line="560" w:lineRule="exact"/>
              <w:jc w:val="center"/>
              <w:rPr>
                <w:rFonts w:ascii="仿宋" w:hAnsi="仿宋" w:eastAsia="仿宋"/>
                <w:kern w:val="0"/>
                <w:sz w:val="24"/>
                <w:szCs w:val="22"/>
              </w:rPr>
            </w:pPr>
            <w:r>
              <w:rPr>
                <w:rFonts w:hint="eastAsia" w:ascii="仿宋" w:hAnsi="仿宋" w:eastAsia="仿宋"/>
                <w:kern w:val="0"/>
                <w:sz w:val="24"/>
                <w:szCs w:val="22"/>
              </w:rPr>
              <w:t>项目团队成员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662" w:type="dxa"/>
            <w:vAlign w:val="center"/>
          </w:tcPr>
          <w:p>
            <w:pPr>
              <w:widowControl/>
              <w:spacing w:after="200" w:line="560" w:lineRule="exact"/>
              <w:jc w:val="center"/>
              <w:rPr>
                <w:rFonts w:ascii="仿宋" w:hAnsi="仿宋" w:eastAsia="仿宋"/>
                <w:kern w:val="0"/>
                <w:sz w:val="24"/>
                <w:szCs w:val="22"/>
              </w:rPr>
            </w:pPr>
            <w:r>
              <w:rPr>
                <w:rFonts w:hint="eastAsia" w:ascii="仿宋" w:hAnsi="仿宋" w:eastAsia="仿宋"/>
                <w:kern w:val="0"/>
                <w:sz w:val="24"/>
                <w:szCs w:val="22"/>
              </w:rPr>
              <w:t>4</w:t>
            </w:r>
          </w:p>
        </w:tc>
        <w:tc>
          <w:tcPr>
            <w:tcW w:w="1140" w:type="dxa"/>
            <w:vAlign w:val="center"/>
          </w:tcPr>
          <w:p>
            <w:pPr>
              <w:widowControl/>
              <w:spacing w:after="200" w:line="560" w:lineRule="exact"/>
              <w:jc w:val="center"/>
              <w:rPr>
                <w:rFonts w:ascii="仿宋" w:hAnsi="仿宋" w:eastAsia="仿宋"/>
                <w:kern w:val="0"/>
                <w:sz w:val="24"/>
                <w:szCs w:val="22"/>
              </w:rPr>
            </w:pPr>
          </w:p>
        </w:tc>
        <w:tc>
          <w:tcPr>
            <w:tcW w:w="864" w:type="dxa"/>
            <w:vAlign w:val="center"/>
          </w:tcPr>
          <w:p>
            <w:pPr>
              <w:widowControl/>
              <w:spacing w:after="200" w:line="560" w:lineRule="exact"/>
              <w:jc w:val="center"/>
              <w:rPr>
                <w:rFonts w:ascii="仿宋" w:hAnsi="仿宋" w:eastAsia="仿宋"/>
                <w:kern w:val="0"/>
                <w:sz w:val="24"/>
                <w:szCs w:val="22"/>
              </w:rPr>
            </w:pPr>
          </w:p>
        </w:tc>
        <w:tc>
          <w:tcPr>
            <w:tcW w:w="2220" w:type="dxa"/>
            <w:vAlign w:val="center"/>
          </w:tcPr>
          <w:p>
            <w:pPr>
              <w:widowControl/>
              <w:spacing w:after="200" w:line="560" w:lineRule="exact"/>
              <w:jc w:val="center"/>
              <w:rPr>
                <w:rFonts w:ascii="仿宋" w:hAnsi="仿宋" w:eastAsia="仿宋"/>
                <w:kern w:val="0"/>
                <w:sz w:val="24"/>
                <w:szCs w:val="22"/>
              </w:rPr>
            </w:pPr>
          </w:p>
        </w:tc>
        <w:tc>
          <w:tcPr>
            <w:tcW w:w="1476" w:type="dxa"/>
            <w:vAlign w:val="center"/>
          </w:tcPr>
          <w:p>
            <w:pPr>
              <w:widowControl/>
              <w:spacing w:after="200" w:line="560" w:lineRule="exact"/>
              <w:jc w:val="center"/>
              <w:rPr>
                <w:rFonts w:ascii="仿宋" w:hAnsi="仿宋" w:eastAsia="仿宋"/>
                <w:kern w:val="0"/>
                <w:sz w:val="24"/>
                <w:szCs w:val="22"/>
              </w:rPr>
            </w:pPr>
          </w:p>
        </w:tc>
        <w:tc>
          <w:tcPr>
            <w:tcW w:w="3227" w:type="dxa"/>
            <w:vAlign w:val="center"/>
          </w:tcPr>
          <w:p>
            <w:pPr>
              <w:widowControl/>
              <w:spacing w:after="200" w:line="560" w:lineRule="exact"/>
              <w:jc w:val="center"/>
              <w:rPr>
                <w:rFonts w:ascii="仿宋" w:hAnsi="仿宋" w:eastAsia="仿宋"/>
                <w:kern w:val="0"/>
                <w:sz w:val="24"/>
                <w:szCs w:val="22"/>
              </w:rPr>
            </w:pPr>
          </w:p>
        </w:tc>
        <w:tc>
          <w:tcPr>
            <w:tcW w:w="1905" w:type="dxa"/>
            <w:vAlign w:val="center"/>
          </w:tcPr>
          <w:p>
            <w:pPr>
              <w:widowControl/>
              <w:spacing w:after="200" w:line="560" w:lineRule="exact"/>
              <w:jc w:val="center"/>
              <w:rPr>
                <w:rFonts w:ascii="仿宋" w:hAnsi="仿宋" w:eastAsia="仿宋"/>
                <w:kern w:val="0"/>
                <w:sz w:val="24"/>
                <w:szCs w:val="22"/>
              </w:rPr>
            </w:pPr>
          </w:p>
        </w:tc>
        <w:tc>
          <w:tcPr>
            <w:tcW w:w="2537" w:type="dxa"/>
            <w:vAlign w:val="center"/>
          </w:tcPr>
          <w:p>
            <w:pPr>
              <w:widowControl/>
              <w:spacing w:after="200" w:line="560" w:lineRule="exact"/>
              <w:jc w:val="center"/>
              <w:rPr>
                <w:rFonts w:ascii="仿宋" w:hAnsi="仿宋" w:eastAsia="仿宋"/>
                <w:kern w:val="0"/>
                <w:sz w:val="24"/>
                <w:szCs w:val="22"/>
              </w:rPr>
            </w:pPr>
            <w:r>
              <w:rPr>
                <w:rFonts w:hint="eastAsia" w:ascii="仿宋" w:hAnsi="仿宋" w:eastAsia="仿宋"/>
                <w:kern w:val="0"/>
                <w:sz w:val="24"/>
                <w:szCs w:val="22"/>
              </w:rPr>
              <w:t>项目团队成员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662" w:type="dxa"/>
            <w:vAlign w:val="center"/>
          </w:tcPr>
          <w:p>
            <w:pPr>
              <w:widowControl/>
              <w:spacing w:after="200" w:line="560" w:lineRule="exact"/>
              <w:jc w:val="center"/>
              <w:rPr>
                <w:rFonts w:ascii="仿宋" w:hAnsi="仿宋" w:eastAsia="仿宋"/>
                <w:kern w:val="0"/>
                <w:sz w:val="24"/>
                <w:szCs w:val="22"/>
              </w:rPr>
            </w:pPr>
            <w:r>
              <w:rPr>
                <w:rFonts w:hint="eastAsia" w:ascii="仿宋" w:hAnsi="仿宋" w:eastAsia="仿宋"/>
                <w:kern w:val="0"/>
                <w:sz w:val="24"/>
                <w:szCs w:val="22"/>
              </w:rPr>
              <w:t>...</w:t>
            </w:r>
          </w:p>
        </w:tc>
        <w:tc>
          <w:tcPr>
            <w:tcW w:w="1140" w:type="dxa"/>
            <w:vAlign w:val="center"/>
          </w:tcPr>
          <w:p>
            <w:pPr>
              <w:widowControl/>
              <w:spacing w:after="200" w:line="560" w:lineRule="exact"/>
              <w:jc w:val="center"/>
              <w:rPr>
                <w:rFonts w:ascii="仿宋" w:hAnsi="仿宋" w:eastAsia="仿宋"/>
                <w:kern w:val="0"/>
                <w:sz w:val="24"/>
                <w:szCs w:val="22"/>
              </w:rPr>
            </w:pPr>
          </w:p>
        </w:tc>
        <w:tc>
          <w:tcPr>
            <w:tcW w:w="864" w:type="dxa"/>
            <w:vAlign w:val="center"/>
          </w:tcPr>
          <w:p>
            <w:pPr>
              <w:widowControl/>
              <w:spacing w:after="200" w:line="560" w:lineRule="exact"/>
              <w:jc w:val="center"/>
              <w:rPr>
                <w:rFonts w:ascii="仿宋" w:hAnsi="仿宋" w:eastAsia="仿宋"/>
                <w:kern w:val="0"/>
                <w:sz w:val="24"/>
                <w:szCs w:val="22"/>
              </w:rPr>
            </w:pPr>
          </w:p>
        </w:tc>
        <w:tc>
          <w:tcPr>
            <w:tcW w:w="2220" w:type="dxa"/>
            <w:vAlign w:val="center"/>
          </w:tcPr>
          <w:p>
            <w:pPr>
              <w:widowControl/>
              <w:spacing w:after="200" w:line="560" w:lineRule="exact"/>
              <w:jc w:val="center"/>
              <w:rPr>
                <w:rFonts w:ascii="仿宋" w:hAnsi="仿宋" w:eastAsia="仿宋"/>
                <w:kern w:val="0"/>
                <w:sz w:val="24"/>
                <w:szCs w:val="22"/>
              </w:rPr>
            </w:pPr>
          </w:p>
        </w:tc>
        <w:tc>
          <w:tcPr>
            <w:tcW w:w="1476" w:type="dxa"/>
            <w:vAlign w:val="center"/>
          </w:tcPr>
          <w:p>
            <w:pPr>
              <w:widowControl/>
              <w:spacing w:after="200" w:line="560" w:lineRule="exact"/>
              <w:jc w:val="center"/>
              <w:rPr>
                <w:rFonts w:ascii="仿宋" w:hAnsi="仿宋" w:eastAsia="仿宋"/>
                <w:kern w:val="0"/>
                <w:sz w:val="24"/>
                <w:szCs w:val="22"/>
              </w:rPr>
            </w:pPr>
          </w:p>
        </w:tc>
        <w:tc>
          <w:tcPr>
            <w:tcW w:w="3227" w:type="dxa"/>
            <w:vAlign w:val="center"/>
          </w:tcPr>
          <w:p>
            <w:pPr>
              <w:widowControl/>
              <w:spacing w:after="200" w:line="560" w:lineRule="exact"/>
              <w:jc w:val="center"/>
              <w:rPr>
                <w:rFonts w:ascii="仿宋" w:hAnsi="仿宋" w:eastAsia="仿宋"/>
                <w:kern w:val="0"/>
                <w:sz w:val="24"/>
                <w:szCs w:val="22"/>
              </w:rPr>
            </w:pPr>
          </w:p>
        </w:tc>
        <w:tc>
          <w:tcPr>
            <w:tcW w:w="1905" w:type="dxa"/>
            <w:vAlign w:val="center"/>
          </w:tcPr>
          <w:p>
            <w:pPr>
              <w:widowControl/>
              <w:spacing w:after="200" w:line="560" w:lineRule="exact"/>
              <w:jc w:val="center"/>
              <w:rPr>
                <w:rFonts w:ascii="仿宋" w:hAnsi="仿宋" w:eastAsia="仿宋"/>
                <w:kern w:val="0"/>
                <w:sz w:val="24"/>
                <w:szCs w:val="22"/>
              </w:rPr>
            </w:pPr>
          </w:p>
        </w:tc>
        <w:tc>
          <w:tcPr>
            <w:tcW w:w="2537" w:type="dxa"/>
            <w:vAlign w:val="center"/>
          </w:tcPr>
          <w:p>
            <w:pPr>
              <w:widowControl/>
              <w:spacing w:after="200" w:line="560" w:lineRule="exact"/>
              <w:jc w:val="center"/>
              <w:rPr>
                <w:rFonts w:ascii="仿宋" w:hAnsi="仿宋" w:eastAsia="仿宋"/>
                <w:kern w:val="0"/>
                <w:sz w:val="24"/>
                <w:szCs w:val="22"/>
              </w:rPr>
            </w:pPr>
            <w:r>
              <w:rPr>
                <w:rFonts w:hint="eastAsia" w:ascii="仿宋" w:hAnsi="仿宋" w:eastAsia="仿宋"/>
                <w:kern w:val="0"/>
                <w:sz w:val="24"/>
                <w:szCs w:val="22"/>
              </w:rPr>
              <w:t>项目团队成员</w:t>
            </w:r>
          </w:p>
        </w:tc>
      </w:tr>
    </w:tbl>
    <w:p>
      <w:pPr>
        <w:tabs>
          <w:tab w:val="left" w:pos="2880"/>
          <w:tab w:val="left" w:pos="3405"/>
        </w:tabs>
        <w:kinsoku w:val="0"/>
        <w:overflowPunct w:val="0"/>
        <w:autoSpaceDE w:val="0"/>
        <w:autoSpaceDN w:val="0"/>
        <w:adjustRightInd w:val="0"/>
        <w:snapToGrid w:val="0"/>
        <w:spacing w:line="360" w:lineRule="exact"/>
        <w:ind w:right="-269" w:rightChars="-128"/>
        <w:jc w:val="left"/>
        <w:rPr>
          <w:rFonts w:ascii="宋体" w:hAnsi="宋体" w:eastAsia="仿宋_GB2312" w:cs="Arial Unicode MS"/>
          <w:kern w:val="0"/>
          <w:szCs w:val="21"/>
        </w:rPr>
      </w:pPr>
    </w:p>
    <w:p>
      <w:pPr>
        <w:tabs>
          <w:tab w:val="left" w:pos="2880"/>
          <w:tab w:val="left" w:pos="3405"/>
        </w:tabs>
        <w:kinsoku w:val="0"/>
        <w:overflowPunct w:val="0"/>
        <w:autoSpaceDE w:val="0"/>
        <w:autoSpaceDN w:val="0"/>
        <w:adjustRightInd w:val="0"/>
        <w:snapToGrid w:val="0"/>
        <w:spacing w:line="360" w:lineRule="exact"/>
        <w:ind w:right="-269" w:rightChars="-128"/>
        <w:jc w:val="left"/>
        <w:rPr>
          <w:rFonts w:ascii="宋体" w:hAnsi="宋体" w:eastAsia="仿宋_GB2312" w:cs="Arial Unicode MS"/>
          <w:kern w:val="0"/>
          <w:szCs w:val="21"/>
        </w:rPr>
      </w:pPr>
      <w:r>
        <w:rPr>
          <w:rFonts w:hint="eastAsia" w:ascii="宋体" w:hAnsi="宋体" w:eastAsia="仿宋_GB2312" w:cs="Arial Unicode MS"/>
          <w:kern w:val="0"/>
          <w:szCs w:val="21"/>
        </w:rPr>
        <w:t>注：</w:t>
      </w:r>
      <w:r>
        <w:rPr>
          <w:rFonts w:hint="eastAsia" w:ascii="Calibri" w:hAnsi="Calibri" w:eastAsia="仿宋_GB2312" w:cs="宋体"/>
          <w:color w:val="000000"/>
          <w:kern w:val="0"/>
          <w:szCs w:val="21"/>
        </w:rPr>
        <w:t>本表后须同时附资质证书等证明资料复印件。</w:t>
      </w:r>
    </w:p>
    <w:p>
      <w:pPr>
        <w:rPr>
          <w:rFonts w:ascii="宋体" w:hAnsi="宋体"/>
          <w:color w:val="000000"/>
          <w:sz w:val="28"/>
          <w:szCs w:val="28"/>
        </w:rPr>
      </w:pPr>
    </w:p>
    <w:p>
      <w:pPr>
        <w:spacing w:line="460" w:lineRule="exact"/>
        <w:rPr>
          <w:rFonts w:ascii="宋体" w:hAnsi="宋体"/>
          <w:b/>
          <w:bCs/>
          <w:sz w:val="24"/>
        </w:rPr>
        <w:sectPr>
          <w:pgSz w:w="16838" w:h="11906" w:orient="landscape"/>
          <w:pgMar w:top="1077" w:right="1440" w:bottom="1077" w:left="1440" w:header="568" w:footer="624" w:gutter="0"/>
          <w:cols w:space="720" w:num="1"/>
          <w:docGrid w:linePitch="312" w:charSpace="0"/>
        </w:sectPr>
      </w:pPr>
    </w:p>
    <w:p>
      <w:pPr>
        <w:spacing w:line="460" w:lineRule="exact"/>
        <w:rPr>
          <w:rFonts w:ascii="宋体" w:hAnsi="宋体"/>
          <w:b/>
          <w:bCs/>
          <w:color w:val="000000"/>
          <w:sz w:val="28"/>
          <w:szCs w:val="28"/>
        </w:rPr>
      </w:pPr>
      <w:r>
        <w:rPr>
          <w:rFonts w:hint="eastAsia" w:ascii="宋体" w:hAnsi="宋体"/>
          <w:b/>
          <w:bCs/>
          <w:color w:val="000000"/>
          <w:sz w:val="28"/>
          <w:szCs w:val="28"/>
        </w:rPr>
        <w:t>六、其他事项</w:t>
      </w:r>
    </w:p>
    <w:p>
      <w:pPr>
        <w:spacing w:line="460" w:lineRule="exact"/>
        <w:rPr>
          <w:rFonts w:ascii="宋体" w:hAnsi="宋体"/>
          <w:b/>
          <w:bCs/>
          <w:sz w:val="24"/>
        </w:rPr>
      </w:pPr>
    </w:p>
    <w:p>
      <w:pPr>
        <w:spacing w:line="460" w:lineRule="exact"/>
        <w:rPr>
          <w:rFonts w:ascii="宋体" w:hAnsi="宋体"/>
          <w:b/>
          <w:bCs/>
          <w:sz w:val="24"/>
        </w:rPr>
      </w:pPr>
      <w:r>
        <w:rPr>
          <w:rFonts w:hint="eastAsia" w:ascii="宋体" w:hAnsi="宋体"/>
          <w:b/>
          <w:bCs/>
          <w:sz w:val="24"/>
        </w:rPr>
        <w:t>供应商认为有需要说明的其他事项。</w:t>
      </w:r>
    </w:p>
    <w:sectPr>
      <w:pgSz w:w="11906" w:h="16838"/>
      <w:pgMar w:top="1440" w:right="1077" w:bottom="1440" w:left="1077" w:header="568" w:footer="62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Garamond">
    <w:altName w:val="PMingLiU-ExtB"/>
    <w:panose1 w:val="02020404030301010803"/>
    <w:charset w:val="00"/>
    <w:family w:val="roman"/>
    <w:pitch w:val="default"/>
    <w:sig w:usb0="00000000" w:usb1="00000000" w:usb2="00000000" w:usb3="00000000" w:csb0="0000009F" w:csb1="DFD70000"/>
  </w:font>
  <w:font w:name="文鼎CS书宋二">
    <w:altName w:val="宋体"/>
    <w:panose1 w:val="00000000000000000000"/>
    <w:charset w:val="86"/>
    <w:family w:val="modern"/>
    <w:pitch w:val="default"/>
    <w:sig w:usb0="00000000" w:usb1="00000000" w:usb2="00000010" w:usb3="00000000" w:csb0="00040000" w:csb1="00000000"/>
  </w:font>
  <w:font w:name="(使用中文字体)">
    <w:altName w:val="宋体"/>
    <w:panose1 w:val="00000000000000000000"/>
    <w:charset w:val="86"/>
    <w:family w:val="roman"/>
    <w:pitch w:val="default"/>
    <w:sig w:usb0="00000000" w:usb1="00000000" w:usb2="00000000" w:usb3="00000000" w:csb0="00040001" w:csb1="00000000"/>
  </w:font>
  <w:font w:name="仿宋体">
    <w:altName w:val="宋体"/>
    <w:panose1 w:val="00000000000000000000"/>
    <w:charset w:val="86"/>
    <w:family w:val="roman"/>
    <w:pitch w:val="default"/>
    <w:sig w:usb0="00000000" w:usb1="00000000" w:usb2="00000010" w:usb3="00000000" w:csb0="00040000" w:csb1="00000000"/>
  </w:font>
  <w:font w:name="Century">
    <w:altName w:val="Times New Roman"/>
    <w:panose1 w:val="02040604050505020304"/>
    <w:charset w:val="00"/>
    <w:family w:val="roman"/>
    <w:pitch w:val="default"/>
    <w:sig w:usb0="00000000" w:usb1="00000000" w:usb2="00000000" w:usb3="00000000" w:csb0="2000009F" w:csb1="DFD70000"/>
  </w:font>
  <w:font w:name="新宋体">
    <w:panose1 w:val="02010609030101010101"/>
    <w:charset w:val="86"/>
    <w:family w:val="modern"/>
    <w:pitch w:val="default"/>
    <w:sig w:usb0="0000028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tempelGaramond Roman">
    <w:altName w:val="PMingLiU-ExtB"/>
    <w:panose1 w:val="00000000000000000000"/>
    <w:charset w:val="00"/>
    <w:family w:val="roman"/>
    <w:pitch w:val="default"/>
    <w:sig w:usb0="00000000"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top w:val="single" w:color="auto" w:sz="4" w:space="1"/>
      </w:pBdr>
      <w:jc w:val="both"/>
    </w:pPr>
    <w:r>
      <w:t>目录广州程启公开比选代理有限公司编制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35"/>
      <w:rPr>
        <w:rStyle w:val="54"/>
      </w:rPr>
    </w:pPr>
    <w:r>
      <w:fldChar w:fldCharType="begin"/>
    </w:r>
    <w:r>
      <w:rPr>
        <w:rStyle w:val="54"/>
      </w:rPr>
      <w:instrText xml:space="preserve">PAGE  </w:instrText>
    </w:r>
    <w:r>
      <w:fldChar w:fldCharType="separate"/>
    </w:r>
    <w:r>
      <w:rPr>
        <w:rStyle w:val="54"/>
      </w:rPr>
      <w:t>31</w:t>
    </w:r>
    <w:r>
      <w:fldChar w:fldCharType="end"/>
    </w:r>
  </w:p>
  <w:p>
    <w:pPr>
      <w:pStyle w:val="225"/>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both"/>
      <w:rPr>
        <w:rFonts w:ascii="宋体" w:hAnsi="宋体"/>
        <w:color w:val="000000"/>
      </w:rPr>
    </w:pPr>
    <w:r>
      <w:rPr>
        <w:rFonts w:ascii="宋体" w:hAnsi="宋体"/>
        <w:sz w:val="21"/>
        <w:szCs w:val="21"/>
      </w:rPr>
      <w:drawing>
        <wp:inline distT="0" distB="0" distL="114300" distR="114300">
          <wp:extent cx="250190" cy="259080"/>
          <wp:effectExtent l="0" t="0" r="3810" b="10795"/>
          <wp:docPr id="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1"/>
                  <pic:cNvPicPr>
                    <a:picLocks noChangeAspect="1"/>
                  </pic:cNvPicPr>
                </pic:nvPicPr>
                <pic:blipFill>
                  <a:blip r:embed="rId1"/>
                  <a:stretch>
                    <a:fillRect/>
                  </a:stretch>
                </pic:blipFill>
                <pic:spPr>
                  <a:xfrm>
                    <a:off x="0" y="0"/>
                    <a:ext cx="250190" cy="259080"/>
                  </a:xfrm>
                  <a:prstGeom prst="rect">
                    <a:avLst/>
                  </a:prstGeom>
                  <a:noFill/>
                  <a:ln w="9525">
                    <a:noFill/>
                    <a:miter/>
                  </a:ln>
                </pic:spPr>
              </pic:pic>
            </a:graphicData>
          </a:graphic>
        </wp:inline>
      </w:drawing>
    </w:r>
    <w:r>
      <w:rPr>
        <w:rFonts w:hint="eastAsia" w:ascii="宋体" w:hAnsi="宋体"/>
      </w:rPr>
      <w:t>一站代理 全</w:t>
    </w:r>
    <w:r>
      <w:rPr>
        <w:rFonts w:hint="eastAsia" w:ascii="华文新魏" w:hAnsi="宋体" w:eastAsia="华文新魏"/>
        <w:b/>
        <w:sz w:val="24"/>
        <w:szCs w:val="24"/>
      </w:rPr>
      <w:t>程</w:t>
    </w:r>
    <w:r>
      <w:rPr>
        <w:rFonts w:hint="eastAsia" w:ascii="宋体" w:hAnsi="宋体"/>
      </w:rPr>
      <w:t>开</w:t>
    </w:r>
    <w:r>
      <w:rPr>
        <w:rFonts w:hint="eastAsia" w:ascii="华文新魏" w:hAnsi="宋体" w:eastAsia="华文新魏"/>
        <w:b/>
        <w:sz w:val="24"/>
        <w:szCs w:val="24"/>
      </w:rPr>
      <w:t>启</w:t>
    </w:r>
    <w:r>
      <w:rPr>
        <w:rFonts w:hint="eastAsia" w:ascii="宋体" w:hAnsi="宋体"/>
        <w:color w:val="000000"/>
      </w:rPr>
      <w:t xml:space="preserve">                                                             广州程启公开比选代理有限公司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both"/>
      <w:rPr>
        <w:rFonts w:ascii="宋体" w:hAnsi="宋体"/>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BA1FB2"/>
    <w:multiLevelType w:val="singleLevel"/>
    <w:tmpl w:val="9DBA1FB2"/>
    <w:lvl w:ilvl="0" w:tentative="0">
      <w:start w:val="1"/>
      <w:numFmt w:val="chineseCounting"/>
      <w:suff w:val="nothing"/>
      <w:lvlText w:val="（%1）"/>
      <w:lvlJc w:val="left"/>
      <w:pPr>
        <w:ind w:left="0" w:firstLine="420"/>
      </w:pPr>
      <w:rPr>
        <w:rFonts w:hint="eastAsia"/>
      </w:rPr>
    </w:lvl>
  </w:abstractNum>
  <w:abstractNum w:abstractNumId="1">
    <w:nsid w:val="00000001"/>
    <w:multiLevelType w:val="multilevel"/>
    <w:tmpl w:val="00000001"/>
    <w:lvl w:ilvl="0" w:tentative="0">
      <w:start w:val="0"/>
      <w:numFmt w:val="decimal"/>
      <w:pStyle w:val="322"/>
      <w:lvlText w:val=""/>
      <w:lvlJc w:val="left"/>
      <w:pPr>
        <w:tabs>
          <w:tab w:val="left" w:pos="360"/>
        </w:tabs>
      </w:pPr>
      <w:rPr>
        <w:rFonts w:hint="eastAsia"/>
      </w:rPr>
    </w:lvl>
    <w:lvl w:ilvl="1" w:tentative="0">
      <w:start w:val="0"/>
      <w:numFmt w:val="decimal"/>
      <w:lvlText w:val=""/>
      <w:lvlJc w:val="left"/>
      <w:pPr>
        <w:tabs>
          <w:tab w:val="left" w:pos="360"/>
        </w:tabs>
      </w:pPr>
    </w:lvl>
    <w:lvl w:ilvl="2" w:tentative="0">
      <w:start w:val="0"/>
      <w:numFmt w:val="decimal"/>
      <w:lvlText w:val=""/>
      <w:lvlJc w:val="left"/>
      <w:pPr>
        <w:tabs>
          <w:tab w:val="left" w:pos="360"/>
        </w:tabs>
      </w:pPr>
    </w:lvl>
    <w:lvl w:ilvl="3" w:tentative="0">
      <w:start w:val="0"/>
      <w:numFmt w:val="decimal"/>
      <w:lvlText w:val=""/>
      <w:lvlJc w:val="left"/>
      <w:pPr>
        <w:tabs>
          <w:tab w:val="left" w:pos="360"/>
        </w:tabs>
      </w:pPr>
    </w:lvl>
    <w:lvl w:ilvl="4" w:tentative="0">
      <w:start w:val="0"/>
      <w:numFmt w:val="decimal"/>
      <w:lvlText w:val=""/>
      <w:lvlJc w:val="left"/>
      <w:pPr>
        <w:tabs>
          <w:tab w:val="left" w:pos="360"/>
        </w:tabs>
      </w:pPr>
    </w:lvl>
    <w:lvl w:ilvl="5" w:tentative="0">
      <w:start w:val="0"/>
      <w:numFmt w:val="decimal"/>
      <w:lvlText w:val=""/>
      <w:lvlJc w:val="left"/>
      <w:pPr>
        <w:tabs>
          <w:tab w:val="left" w:pos="360"/>
        </w:tabs>
      </w:pPr>
    </w:lvl>
    <w:lvl w:ilvl="6" w:tentative="0">
      <w:start w:val="0"/>
      <w:numFmt w:val="decimal"/>
      <w:lvlText w:val=""/>
      <w:lvlJc w:val="left"/>
      <w:pPr>
        <w:tabs>
          <w:tab w:val="left" w:pos="360"/>
        </w:tabs>
      </w:pPr>
    </w:lvl>
    <w:lvl w:ilvl="7" w:tentative="0">
      <w:start w:val="0"/>
      <w:numFmt w:val="decimal"/>
      <w:lvlText w:val=""/>
      <w:lvlJc w:val="left"/>
      <w:pPr>
        <w:tabs>
          <w:tab w:val="left" w:pos="360"/>
        </w:tabs>
      </w:pPr>
    </w:lvl>
    <w:lvl w:ilvl="8" w:tentative="0">
      <w:start w:val="0"/>
      <w:numFmt w:val="decimal"/>
      <w:lvlText w:val=""/>
      <w:lvlJc w:val="left"/>
      <w:pPr>
        <w:tabs>
          <w:tab w:val="left" w:pos="360"/>
        </w:tabs>
      </w:pPr>
    </w:lvl>
  </w:abstractNum>
  <w:abstractNum w:abstractNumId="2">
    <w:nsid w:val="0000000A"/>
    <w:multiLevelType w:val="multilevel"/>
    <w:tmpl w:val="0000000A"/>
    <w:lvl w:ilvl="0" w:tentative="0">
      <w:start w:val="1"/>
      <w:numFmt w:val="decimal"/>
      <w:pStyle w:val="75"/>
      <w:lvlText w:val="（%1）"/>
      <w:lvlJc w:val="left"/>
      <w:pPr>
        <w:tabs>
          <w:tab w:val="left" w:pos="1182"/>
        </w:tabs>
        <w:ind w:left="1182" w:hanging="720"/>
      </w:pPr>
      <w:rPr>
        <w:rFonts w:hint="default"/>
      </w:rPr>
    </w:lvl>
    <w:lvl w:ilvl="1" w:tentative="0">
      <w:start w:val="1"/>
      <w:numFmt w:val="lowerLetter"/>
      <w:lvlText w:val="%2)"/>
      <w:lvlJc w:val="left"/>
      <w:pPr>
        <w:tabs>
          <w:tab w:val="left" w:pos="1302"/>
        </w:tabs>
        <w:ind w:left="1302" w:hanging="420"/>
      </w:pPr>
    </w:lvl>
    <w:lvl w:ilvl="2" w:tentative="0">
      <w:start w:val="1"/>
      <w:numFmt w:val="lowerRoman"/>
      <w:lvlText w:val="%3."/>
      <w:lvlJc w:val="right"/>
      <w:pPr>
        <w:tabs>
          <w:tab w:val="left" w:pos="1722"/>
        </w:tabs>
        <w:ind w:left="1722" w:hanging="420"/>
      </w:pPr>
    </w:lvl>
    <w:lvl w:ilvl="3" w:tentative="0">
      <w:start w:val="1"/>
      <w:numFmt w:val="decimal"/>
      <w:lvlText w:val="%4."/>
      <w:lvlJc w:val="left"/>
      <w:pPr>
        <w:tabs>
          <w:tab w:val="left" w:pos="2142"/>
        </w:tabs>
        <w:ind w:left="2142" w:hanging="420"/>
      </w:pPr>
    </w:lvl>
    <w:lvl w:ilvl="4" w:tentative="0">
      <w:start w:val="1"/>
      <w:numFmt w:val="lowerLetter"/>
      <w:lvlText w:val="%5)"/>
      <w:lvlJc w:val="left"/>
      <w:pPr>
        <w:tabs>
          <w:tab w:val="left" w:pos="2562"/>
        </w:tabs>
        <w:ind w:left="2562" w:hanging="420"/>
      </w:pPr>
    </w:lvl>
    <w:lvl w:ilvl="5" w:tentative="0">
      <w:start w:val="1"/>
      <w:numFmt w:val="lowerRoman"/>
      <w:lvlText w:val="%6."/>
      <w:lvlJc w:val="right"/>
      <w:pPr>
        <w:tabs>
          <w:tab w:val="left" w:pos="2982"/>
        </w:tabs>
        <w:ind w:left="2982" w:hanging="420"/>
      </w:pPr>
    </w:lvl>
    <w:lvl w:ilvl="6" w:tentative="0">
      <w:start w:val="1"/>
      <w:numFmt w:val="decimal"/>
      <w:lvlText w:val="%7."/>
      <w:lvlJc w:val="left"/>
      <w:pPr>
        <w:tabs>
          <w:tab w:val="left" w:pos="3402"/>
        </w:tabs>
        <w:ind w:left="3402" w:hanging="420"/>
      </w:pPr>
    </w:lvl>
    <w:lvl w:ilvl="7" w:tentative="0">
      <w:start w:val="1"/>
      <w:numFmt w:val="lowerLetter"/>
      <w:lvlText w:val="%8)"/>
      <w:lvlJc w:val="left"/>
      <w:pPr>
        <w:tabs>
          <w:tab w:val="left" w:pos="3822"/>
        </w:tabs>
        <w:ind w:left="3822" w:hanging="420"/>
      </w:pPr>
    </w:lvl>
    <w:lvl w:ilvl="8" w:tentative="0">
      <w:start w:val="1"/>
      <w:numFmt w:val="lowerRoman"/>
      <w:lvlText w:val="%9."/>
      <w:lvlJc w:val="right"/>
      <w:pPr>
        <w:tabs>
          <w:tab w:val="left" w:pos="4242"/>
        </w:tabs>
        <w:ind w:left="4242" w:hanging="420"/>
      </w:pPr>
    </w:lvl>
  </w:abstractNum>
  <w:abstractNum w:abstractNumId="3">
    <w:nsid w:val="0000000C"/>
    <w:multiLevelType w:val="multilevel"/>
    <w:tmpl w:val="0000000C"/>
    <w:lvl w:ilvl="0" w:tentative="0">
      <w:start w:val="1"/>
      <w:numFmt w:val="decimal"/>
      <w:lvlText w:val="（%1）"/>
      <w:lvlJc w:val="left"/>
      <w:pPr>
        <w:tabs>
          <w:tab w:val="left" w:pos="1080"/>
        </w:tabs>
        <w:ind w:left="1080" w:hanging="720"/>
      </w:pPr>
      <w:rPr>
        <w:rFonts w:hint="default"/>
        <w:b w:val="0"/>
      </w:rPr>
    </w:lvl>
    <w:lvl w:ilvl="1" w:tentative="0">
      <w:start w:val="1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0"/>
    <w:multiLevelType w:val="multilevel"/>
    <w:tmpl w:val="00000010"/>
    <w:lvl w:ilvl="0" w:tentative="0">
      <w:start w:val="1"/>
      <w:numFmt w:val="decimal"/>
      <w:pStyle w:val="204"/>
      <w:lvlText w:val="%1."/>
      <w:lvlJc w:val="left"/>
      <w:pPr>
        <w:tabs>
          <w:tab w:val="left" w:pos="360"/>
        </w:tabs>
        <w:ind w:left="360" w:hanging="36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180"/>
        </w:tabs>
        <w:ind w:left="180" w:hanging="420"/>
      </w:pPr>
    </w:lvl>
    <w:lvl w:ilvl="3" w:tentative="0">
      <w:start w:val="1"/>
      <w:numFmt w:val="decimal"/>
      <w:lvlText w:val="%4."/>
      <w:lvlJc w:val="left"/>
      <w:pPr>
        <w:tabs>
          <w:tab w:val="left" w:pos="600"/>
        </w:tabs>
        <w:ind w:left="600" w:hanging="420"/>
      </w:pPr>
    </w:lvl>
    <w:lvl w:ilvl="4" w:tentative="0">
      <w:start w:val="1"/>
      <w:numFmt w:val="lowerLetter"/>
      <w:lvlText w:val="%5)"/>
      <w:lvlJc w:val="left"/>
      <w:pPr>
        <w:tabs>
          <w:tab w:val="left" w:pos="1020"/>
        </w:tabs>
        <w:ind w:left="1020" w:hanging="420"/>
      </w:pPr>
    </w:lvl>
    <w:lvl w:ilvl="5" w:tentative="0">
      <w:start w:val="1"/>
      <w:numFmt w:val="lowerRoman"/>
      <w:lvlText w:val="%6."/>
      <w:lvlJc w:val="right"/>
      <w:pPr>
        <w:tabs>
          <w:tab w:val="left" w:pos="1440"/>
        </w:tabs>
        <w:ind w:left="1440" w:hanging="420"/>
      </w:pPr>
    </w:lvl>
    <w:lvl w:ilvl="6" w:tentative="0">
      <w:start w:val="1"/>
      <w:numFmt w:val="decimal"/>
      <w:lvlText w:val="%7."/>
      <w:lvlJc w:val="left"/>
      <w:pPr>
        <w:tabs>
          <w:tab w:val="left" w:pos="1860"/>
        </w:tabs>
        <w:ind w:left="1860" w:hanging="420"/>
      </w:pPr>
    </w:lvl>
    <w:lvl w:ilvl="7" w:tentative="0">
      <w:start w:val="1"/>
      <w:numFmt w:val="lowerLetter"/>
      <w:lvlText w:val="%8)"/>
      <w:lvlJc w:val="left"/>
      <w:pPr>
        <w:tabs>
          <w:tab w:val="left" w:pos="2280"/>
        </w:tabs>
        <w:ind w:left="2280" w:hanging="420"/>
      </w:pPr>
    </w:lvl>
    <w:lvl w:ilvl="8" w:tentative="0">
      <w:start w:val="1"/>
      <w:numFmt w:val="lowerRoman"/>
      <w:lvlText w:val="%9."/>
      <w:lvlJc w:val="right"/>
      <w:pPr>
        <w:tabs>
          <w:tab w:val="left" w:pos="2700"/>
        </w:tabs>
        <w:ind w:left="2700" w:hanging="420"/>
      </w:pPr>
    </w:lvl>
  </w:abstractNum>
  <w:abstractNum w:abstractNumId="5">
    <w:nsid w:val="00000016"/>
    <w:multiLevelType w:val="multilevel"/>
    <w:tmpl w:val="00000016"/>
    <w:lvl w:ilvl="0" w:tentative="0">
      <w:start w:val="1"/>
      <w:numFmt w:val="decimal"/>
      <w:pStyle w:val="336"/>
      <w:lvlText w:val="（%1）"/>
      <w:lvlJc w:val="left"/>
      <w:pPr>
        <w:tabs>
          <w:tab w:val="left" w:pos="1080"/>
        </w:tabs>
        <w:ind w:left="1080" w:hanging="84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00000017"/>
    <w:multiLevelType w:val="multilevel"/>
    <w:tmpl w:val="00000017"/>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pStyle w:val="160"/>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0000018"/>
    <w:multiLevelType w:val="multilevel"/>
    <w:tmpl w:val="00000018"/>
    <w:lvl w:ilvl="0" w:tentative="0">
      <w:start w:val="1"/>
      <w:numFmt w:val="decimal"/>
      <w:pStyle w:val="168"/>
      <w:lvlText w:val="%1."/>
      <w:lvlJc w:val="left"/>
      <w:pPr>
        <w:tabs>
          <w:tab w:val="left" w:pos="425"/>
        </w:tabs>
        <w:ind w:left="425" w:hanging="425"/>
      </w:pPr>
      <w:rPr>
        <w:rFonts w:hint="eastAsia"/>
      </w:rPr>
    </w:lvl>
    <w:lvl w:ilvl="1" w:tentative="0">
      <w:start w:val="1"/>
      <w:numFmt w:val="decimal"/>
      <w:lvlText w:val="%2."/>
      <w:lvlJc w:val="left"/>
      <w:pPr>
        <w:tabs>
          <w:tab w:val="left" w:pos="851"/>
        </w:tabs>
        <w:ind w:left="851" w:hanging="426"/>
      </w:pPr>
      <w:rPr>
        <w:rFonts w:hint="eastAsia"/>
      </w:rPr>
    </w:lvl>
    <w:lvl w:ilvl="2" w:tentative="0">
      <w:start w:val="1"/>
      <w:numFmt w:val="decimal"/>
      <w:lvlText w:val="%3."/>
      <w:lvlJc w:val="left"/>
      <w:pPr>
        <w:tabs>
          <w:tab w:val="left" w:pos="1276"/>
        </w:tabs>
        <w:ind w:left="1276" w:hanging="425"/>
      </w:pPr>
      <w:rPr>
        <w:rFonts w:hint="eastAsia"/>
      </w:rPr>
    </w:lvl>
    <w:lvl w:ilvl="3" w:tentative="0">
      <w:start w:val="1"/>
      <w:numFmt w:val="lowerLetter"/>
      <w:lvlText w:val="%4."/>
      <w:lvlJc w:val="left"/>
      <w:pPr>
        <w:tabs>
          <w:tab w:val="left" w:pos="1559"/>
        </w:tabs>
        <w:ind w:left="1559" w:hanging="283"/>
      </w:pPr>
      <w:rPr>
        <w:rFonts w:hint="eastAsia"/>
      </w:rPr>
    </w:lvl>
    <w:lvl w:ilvl="4" w:tentative="0">
      <w:start w:val="1"/>
      <w:numFmt w:val="decimal"/>
      <w:lvlText w:val="%5."/>
      <w:lvlJc w:val="left"/>
      <w:pPr>
        <w:tabs>
          <w:tab w:val="left" w:pos="1984"/>
        </w:tabs>
        <w:ind w:left="1984" w:hanging="425"/>
      </w:pPr>
      <w:rPr>
        <w:rFonts w:hint="eastAsia"/>
      </w:rPr>
    </w:lvl>
    <w:lvl w:ilvl="5" w:tentative="0">
      <w:start w:val="1"/>
      <w:numFmt w:val="lowerLetter"/>
      <w:lvlText w:val="%6."/>
      <w:lvlJc w:val="left"/>
      <w:pPr>
        <w:tabs>
          <w:tab w:val="left" w:pos="2409"/>
        </w:tabs>
        <w:ind w:left="2409" w:hanging="425"/>
      </w:pPr>
      <w:rPr>
        <w:rFonts w:hint="eastAsia"/>
      </w:rPr>
    </w:lvl>
    <w:lvl w:ilvl="6" w:tentative="0">
      <w:start w:val="1"/>
      <w:numFmt w:val="lowerRoman"/>
      <w:lvlText w:val="%7."/>
      <w:lvlJc w:val="left"/>
      <w:pPr>
        <w:tabs>
          <w:tab w:val="left" w:pos="2835"/>
        </w:tabs>
        <w:ind w:left="2835" w:hanging="426"/>
      </w:pPr>
      <w:rPr>
        <w:rFonts w:hint="eastAsia"/>
      </w:rPr>
    </w:lvl>
    <w:lvl w:ilvl="7" w:tentative="0">
      <w:start w:val="1"/>
      <w:numFmt w:val="lowerLetter"/>
      <w:lvlText w:val="%8."/>
      <w:lvlJc w:val="left"/>
      <w:pPr>
        <w:tabs>
          <w:tab w:val="left" w:pos="3260"/>
        </w:tabs>
        <w:ind w:left="3260" w:hanging="425"/>
      </w:pPr>
      <w:rPr>
        <w:rFonts w:hint="eastAsia"/>
      </w:rPr>
    </w:lvl>
    <w:lvl w:ilvl="8" w:tentative="0">
      <w:start w:val="1"/>
      <w:numFmt w:val="lowerRoman"/>
      <w:lvlText w:val="%9."/>
      <w:lvlJc w:val="left"/>
      <w:pPr>
        <w:tabs>
          <w:tab w:val="left" w:pos="3685"/>
        </w:tabs>
        <w:ind w:left="3685" w:hanging="425"/>
      </w:pPr>
      <w:rPr>
        <w:rFonts w:hint="eastAsia"/>
      </w:rPr>
    </w:lvl>
  </w:abstractNum>
  <w:abstractNum w:abstractNumId="8">
    <w:nsid w:val="00000020"/>
    <w:multiLevelType w:val="multilevel"/>
    <w:tmpl w:val="00000020"/>
    <w:lvl w:ilvl="0" w:tentative="0">
      <w:start w:val="1"/>
      <w:numFmt w:val="decimal"/>
      <w:pStyle w:val="208"/>
      <w:lvlText w:val="%1."/>
      <w:lvlJc w:val="left"/>
      <w:pPr>
        <w:tabs>
          <w:tab w:val="left" w:pos="780"/>
        </w:tabs>
        <w:ind w:left="780" w:hanging="360"/>
      </w:pPr>
    </w:lvl>
    <w:lvl w:ilvl="1" w:tentative="0">
      <w:start w:val="1"/>
      <w:numFmt w:val="lowerLetter"/>
      <w:lvlText w:val="%2)"/>
      <w:lvlJc w:val="left"/>
      <w:pPr>
        <w:tabs>
          <w:tab w:val="left" w:pos="180"/>
        </w:tabs>
        <w:ind w:left="180" w:hanging="420"/>
      </w:pPr>
    </w:lvl>
    <w:lvl w:ilvl="2" w:tentative="0">
      <w:start w:val="1"/>
      <w:numFmt w:val="lowerRoman"/>
      <w:lvlText w:val="%3."/>
      <w:lvlJc w:val="right"/>
      <w:pPr>
        <w:tabs>
          <w:tab w:val="left" w:pos="600"/>
        </w:tabs>
        <w:ind w:left="600" w:hanging="420"/>
      </w:pPr>
    </w:lvl>
    <w:lvl w:ilvl="3" w:tentative="0">
      <w:start w:val="1"/>
      <w:numFmt w:val="decimal"/>
      <w:lvlText w:val="%4."/>
      <w:lvlJc w:val="left"/>
      <w:pPr>
        <w:tabs>
          <w:tab w:val="left" w:pos="1020"/>
        </w:tabs>
        <w:ind w:left="1020" w:hanging="420"/>
      </w:pPr>
    </w:lvl>
    <w:lvl w:ilvl="4" w:tentative="0">
      <w:start w:val="1"/>
      <w:numFmt w:val="lowerLetter"/>
      <w:lvlText w:val="%5)"/>
      <w:lvlJc w:val="left"/>
      <w:pPr>
        <w:tabs>
          <w:tab w:val="left" w:pos="1440"/>
        </w:tabs>
        <w:ind w:left="1440" w:hanging="420"/>
      </w:pPr>
    </w:lvl>
    <w:lvl w:ilvl="5" w:tentative="0">
      <w:start w:val="1"/>
      <w:numFmt w:val="lowerRoman"/>
      <w:lvlText w:val="%6."/>
      <w:lvlJc w:val="right"/>
      <w:pPr>
        <w:tabs>
          <w:tab w:val="left" w:pos="1860"/>
        </w:tabs>
        <w:ind w:left="1860" w:hanging="420"/>
      </w:pPr>
    </w:lvl>
    <w:lvl w:ilvl="6" w:tentative="0">
      <w:start w:val="1"/>
      <w:numFmt w:val="decimal"/>
      <w:lvlText w:val="%7."/>
      <w:lvlJc w:val="left"/>
      <w:pPr>
        <w:tabs>
          <w:tab w:val="left" w:pos="2280"/>
        </w:tabs>
        <w:ind w:left="2280" w:hanging="420"/>
      </w:pPr>
    </w:lvl>
    <w:lvl w:ilvl="7" w:tentative="0">
      <w:start w:val="1"/>
      <w:numFmt w:val="lowerLetter"/>
      <w:lvlText w:val="%8)"/>
      <w:lvlJc w:val="left"/>
      <w:pPr>
        <w:tabs>
          <w:tab w:val="left" w:pos="2700"/>
        </w:tabs>
        <w:ind w:left="2700" w:hanging="420"/>
      </w:pPr>
    </w:lvl>
    <w:lvl w:ilvl="8" w:tentative="0">
      <w:start w:val="1"/>
      <w:numFmt w:val="lowerRoman"/>
      <w:lvlText w:val="%9."/>
      <w:lvlJc w:val="right"/>
      <w:pPr>
        <w:tabs>
          <w:tab w:val="left" w:pos="3120"/>
        </w:tabs>
        <w:ind w:left="3120" w:hanging="420"/>
      </w:pPr>
    </w:lvl>
  </w:abstractNum>
  <w:abstractNum w:abstractNumId="9">
    <w:nsid w:val="00000024"/>
    <w:multiLevelType w:val="multilevel"/>
    <w:tmpl w:val="00000024"/>
    <w:lvl w:ilvl="0" w:tentative="0">
      <w:start w:val="1"/>
      <w:numFmt w:val="decimal"/>
      <w:pStyle w:val="111"/>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00000028"/>
    <w:multiLevelType w:val="multilevel"/>
    <w:tmpl w:val="00000028"/>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180"/>
        </w:tabs>
        <w:ind w:left="180" w:hanging="420"/>
      </w:pPr>
    </w:lvl>
    <w:lvl w:ilvl="3" w:tentative="0">
      <w:start w:val="1"/>
      <w:numFmt w:val="decimal"/>
      <w:lvlText w:val="%4."/>
      <w:lvlJc w:val="left"/>
      <w:pPr>
        <w:tabs>
          <w:tab w:val="left" w:pos="600"/>
        </w:tabs>
        <w:ind w:left="600" w:hanging="420"/>
      </w:pPr>
    </w:lvl>
    <w:lvl w:ilvl="4" w:tentative="0">
      <w:start w:val="1"/>
      <w:numFmt w:val="lowerLetter"/>
      <w:lvlText w:val="%5)"/>
      <w:lvlJc w:val="left"/>
      <w:pPr>
        <w:tabs>
          <w:tab w:val="left" w:pos="1020"/>
        </w:tabs>
        <w:ind w:left="1020" w:hanging="420"/>
      </w:pPr>
    </w:lvl>
    <w:lvl w:ilvl="5" w:tentative="0">
      <w:start w:val="1"/>
      <w:numFmt w:val="lowerRoman"/>
      <w:lvlText w:val="%6."/>
      <w:lvlJc w:val="right"/>
      <w:pPr>
        <w:tabs>
          <w:tab w:val="left" w:pos="1440"/>
        </w:tabs>
        <w:ind w:left="1440" w:hanging="420"/>
      </w:pPr>
    </w:lvl>
    <w:lvl w:ilvl="6" w:tentative="0">
      <w:start w:val="1"/>
      <w:numFmt w:val="decimal"/>
      <w:pStyle w:val="159"/>
      <w:lvlText w:val="%7."/>
      <w:lvlJc w:val="left"/>
      <w:pPr>
        <w:tabs>
          <w:tab w:val="left" w:pos="1860"/>
        </w:tabs>
        <w:ind w:left="1860" w:hanging="420"/>
      </w:pPr>
    </w:lvl>
    <w:lvl w:ilvl="7" w:tentative="0">
      <w:start w:val="1"/>
      <w:numFmt w:val="lowerLetter"/>
      <w:lvlText w:val="%8)"/>
      <w:lvlJc w:val="left"/>
      <w:pPr>
        <w:tabs>
          <w:tab w:val="left" w:pos="2280"/>
        </w:tabs>
        <w:ind w:left="2280" w:hanging="420"/>
      </w:pPr>
    </w:lvl>
    <w:lvl w:ilvl="8" w:tentative="0">
      <w:start w:val="1"/>
      <w:numFmt w:val="lowerRoman"/>
      <w:lvlText w:val="%9."/>
      <w:lvlJc w:val="right"/>
      <w:pPr>
        <w:tabs>
          <w:tab w:val="left" w:pos="2700"/>
        </w:tabs>
        <w:ind w:left="2700" w:hanging="420"/>
      </w:pPr>
    </w:lvl>
  </w:abstractNum>
  <w:abstractNum w:abstractNumId="11">
    <w:nsid w:val="00000029"/>
    <w:multiLevelType w:val="multilevel"/>
    <w:tmpl w:val="00000029"/>
    <w:lvl w:ilvl="0" w:tentative="0">
      <w:start w:val="1"/>
      <w:numFmt w:val="decimal"/>
      <w:pStyle w:val="18"/>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pStyle w:val="34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39"/>
    <w:multiLevelType w:val="multilevel"/>
    <w:tmpl w:val="00000039"/>
    <w:lvl w:ilvl="0" w:tentative="0">
      <w:start w:val="1"/>
      <w:numFmt w:val="decimal"/>
      <w:pStyle w:val="221"/>
      <w:lvlText w:val="%1."/>
      <w:lvlJc w:val="left"/>
      <w:pPr>
        <w:tabs>
          <w:tab w:val="left" w:pos="360"/>
        </w:tabs>
        <w:ind w:left="360" w:hanging="36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180"/>
        </w:tabs>
        <w:ind w:left="180" w:hanging="420"/>
      </w:pPr>
    </w:lvl>
    <w:lvl w:ilvl="3" w:tentative="0">
      <w:start w:val="1"/>
      <w:numFmt w:val="decimal"/>
      <w:lvlText w:val="%4."/>
      <w:lvlJc w:val="left"/>
      <w:pPr>
        <w:tabs>
          <w:tab w:val="left" w:pos="600"/>
        </w:tabs>
        <w:ind w:left="600" w:hanging="420"/>
      </w:pPr>
    </w:lvl>
    <w:lvl w:ilvl="4" w:tentative="0">
      <w:start w:val="1"/>
      <w:numFmt w:val="lowerLetter"/>
      <w:lvlText w:val="%5)"/>
      <w:lvlJc w:val="left"/>
      <w:pPr>
        <w:tabs>
          <w:tab w:val="left" w:pos="1020"/>
        </w:tabs>
        <w:ind w:left="1020" w:hanging="420"/>
      </w:pPr>
    </w:lvl>
    <w:lvl w:ilvl="5" w:tentative="0">
      <w:start w:val="1"/>
      <w:numFmt w:val="lowerRoman"/>
      <w:lvlText w:val="%6."/>
      <w:lvlJc w:val="right"/>
      <w:pPr>
        <w:tabs>
          <w:tab w:val="left" w:pos="1440"/>
        </w:tabs>
        <w:ind w:left="1440" w:hanging="420"/>
      </w:pPr>
    </w:lvl>
    <w:lvl w:ilvl="6" w:tentative="0">
      <w:start w:val="1"/>
      <w:numFmt w:val="decimal"/>
      <w:lvlText w:val="%7."/>
      <w:lvlJc w:val="left"/>
      <w:pPr>
        <w:tabs>
          <w:tab w:val="left" w:pos="1860"/>
        </w:tabs>
        <w:ind w:left="1860" w:hanging="420"/>
      </w:pPr>
    </w:lvl>
    <w:lvl w:ilvl="7" w:tentative="0">
      <w:start w:val="1"/>
      <w:numFmt w:val="lowerLetter"/>
      <w:lvlText w:val="%8)"/>
      <w:lvlJc w:val="left"/>
      <w:pPr>
        <w:tabs>
          <w:tab w:val="left" w:pos="2280"/>
        </w:tabs>
        <w:ind w:left="2280" w:hanging="420"/>
      </w:pPr>
    </w:lvl>
    <w:lvl w:ilvl="8" w:tentative="0">
      <w:start w:val="1"/>
      <w:numFmt w:val="lowerRoman"/>
      <w:lvlText w:val="%9."/>
      <w:lvlJc w:val="right"/>
      <w:pPr>
        <w:tabs>
          <w:tab w:val="left" w:pos="2700"/>
        </w:tabs>
        <w:ind w:left="2700" w:hanging="420"/>
      </w:pPr>
    </w:lvl>
  </w:abstractNum>
  <w:abstractNum w:abstractNumId="13">
    <w:nsid w:val="0000003B"/>
    <w:multiLevelType w:val="multilevel"/>
    <w:tmpl w:val="0000003B"/>
    <w:lvl w:ilvl="0" w:tentative="0">
      <w:start w:val="1"/>
      <w:numFmt w:val="decimal"/>
      <w:pStyle w:val="226"/>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00000044"/>
    <w:multiLevelType w:val="multilevel"/>
    <w:tmpl w:val="00000044"/>
    <w:lvl w:ilvl="0" w:tentative="0">
      <w:start w:val="1"/>
      <w:numFmt w:val="decimal"/>
      <w:pStyle w:val="356"/>
      <w:lvlText w:val="（%1）"/>
      <w:lvlJc w:val="left"/>
      <w:pPr>
        <w:tabs>
          <w:tab w:val="left" w:pos="720"/>
        </w:tabs>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010B216D"/>
    <w:multiLevelType w:val="multilevel"/>
    <w:tmpl w:val="010B216D"/>
    <w:lvl w:ilvl="0" w:tentative="0">
      <w:start w:val="1"/>
      <w:numFmt w:val="decimal"/>
      <w:pStyle w:val="171"/>
      <w:lvlText w:val="%1."/>
      <w:lvlJc w:val="left"/>
      <w:pPr>
        <w:tabs>
          <w:tab w:val="left" w:pos="425"/>
        </w:tabs>
        <w:ind w:left="425" w:hanging="425"/>
      </w:pPr>
      <w:rPr>
        <w:rFonts w:hint="eastAsia"/>
        <w:b/>
        <w:i w:val="0"/>
        <w:sz w:val="28"/>
        <w:szCs w:val="28"/>
      </w:rPr>
    </w:lvl>
    <w:lvl w:ilvl="1" w:tentative="0">
      <w:start w:val="1"/>
      <w:numFmt w:val="decimal"/>
      <w:lvlText w:val="%1.%2."/>
      <w:lvlJc w:val="left"/>
      <w:pPr>
        <w:tabs>
          <w:tab w:val="left" w:pos="567"/>
        </w:tabs>
        <w:ind w:left="567" w:hanging="567"/>
      </w:pPr>
      <w:rPr>
        <w:rFonts w:hint="eastAsia" w:ascii="宋体" w:hAnsi="宋体" w:eastAsia="宋体"/>
        <w:b/>
        <w:i w:val="0"/>
        <w:sz w:val="24"/>
        <w:szCs w:val="24"/>
      </w:rPr>
    </w:lvl>
    <w:lvl w:ilvl="2" w:tentative="0">
      <w:start w:val="1"/>
      <w:numFmt w:val="decimal"/>
      <w:lvlText w:val="%1.%2.%3."/>
      <w:lvlJc w:val="left"/>
      <w:pPr>
        <w:tabs>
          <w:tab w:val="left" w:pos="1192"/>
        </w:tabs>
        <w:ind w:left="1192" w:hanging="624"/>
      </w:pPr>
      <w:rPr>
        <w:rFonts w:hint="eastAsia" w:ascii="宋体" w:eastAsia="宋体"/>
        <w:b w:val="0"/>
        <w:i w:val="0"/>
        <w:sz w:val="24"/>
        <w:szCs w:val="24"/>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6">
    <w:nsid w:val="01CA5942"/>
    <w:multiLevelType w:val="multilevel"/>
    <w:tmpl w:val="01CA5942"/>
    <w:lvl w:ilvl="0" w:tentative="0">
      <w:start w:val="1"/>
      <w:numFmt w:val="decimal"/>
      <w:pStyle w:val="290"/>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3FC3907"/>
    <w:multiLevelType w:val="singleLevel"/>
    <w:tmpl w:val="03FC3907"/>
    <w:lvl w:ilvl="0" w:tentative="0">
      <w:start w:val="1"/>
      <w:numFmt w:val="chineseCounting"/>
      <w:suff w:val="nothing"/>
      <w:lvlText w:val="（%1）"/>
      <w:lvlJc w:val="left"/>
      <w:rPr>
        <w:rFonts w:hint="eastAsia"/>
      </w:rPr>
    </w:lvl>
  </w:abstractNum>
  <w:abstractNum w:abstractNumId="18">
    <w:nsid w:val="147333B9"/>
    <w:multiLevelType w:val="multilevel"/>
    <w:tmpl w:val="147333B9"/>
    <w:lvl w:ilvl="0" w:tentative="0">
      <w:start w:val="1"/>
      <w:numFmt w:val="japaneseCounting"/>
      <w:pStyle w:val="162"/>
      <w:lvlText w:val="%1、"/>
      <w:lvlJc w:val="left"/>
      <w:pPr>
        <w:tabs>
          <w:tab w:val="left" w:pos="720"/>
        </w:tabs>
        <w:ind w:left="720" w:hanging="72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decimal"/>
      <w:lvlText w:val="（%3）"/>
      <w:lvlJc w:val="left"/>
      <w:pPr>
        <w:tabs>
          <w:tab w:val="left" w:pos="1429"/>
        </w:tabs>
        <w:ind w:left="1429" w:hanging="72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12E20C1"/>
    <w:multiLevelType w:val="singleLevel"/>
    <w:tmpl w:val="212E20C1"/>
    <w:lvl w:ilvl="0" w:tentative="0">
      <w:start w:val="1"/>
      <w:numFmt w:val="chineseCounting"/>
      <w:suff w:val="nothing"/>
      <w:lvlText w:val="（%1）"/>
      <w:lvlJc w:val="left"/>
      <w:pPr>
        <w:ind w:left="0" w:firstLine="420"/>
      </w:pPr>
      <w:rPr>
        <w:rFonts w:hint="eastAsia"/>
      </w:rPr>
    </w:lvl>
  </w:abstractNum>
  <w:abstractNum w:abstractNumId="20">
    <w:nsid w:val="234D0C22"/>
    <w:multiLevelType w:val="multilevel"/>
    <w:tmpl w:val="234D0C22"/>
    <w:lvl w:ilvl="0" w:tentative="0">
      <w:start w:val="1"/>
      <w:numFmt w:val="decimal"/>
      <w:pStyle w:val="40"/>
      <w:lvlText w:val="（%1）"/>
      <w:lvlJc w:val="left"/>
      <w:pPr>
        <w:tabs>
          <w:tab w:val="left" w:pos="718"/>
        </w:tabs>
        <w:ind w:left="718" w:hanging="720"/>
      </w:pPr>
      <w:rPr>
        <w:rFonts w:hint="eastAsia"/>
      </w:rPr>
    </w:lvl>
    <w:lvl w:ilvl="1" w:tentative="0">
      <w:start w:val="1"/>
      <w:numFmt w:val="lowerLetter"/>
      <w:pStyle w:val="119"/>
      <w:lvlText w:val="%2）"/>
      <w:lvlJc w:val="left"/>
      <w:pPr>
        <w:tabs>
          <w:tab w:val="left" w:pos="1138"/>
        </w:tabs>
        <w:ind w:left="1138" w:hanging="571"/>
      </w:pPr>
      <w:rPr>
        <w:rFonts w:hint="default"/>
      </w:rPr>
    </w:lvl>
    <w:lvl w:ilvl="2" w:tentative="0">
      <w:start w:val="1"/>
      <w:numFmt w:val="lowerRoman"/>
      <w:lvlText w:val="%3."/>
      <w:lvlJc w:val="right"/>
      <w:pPr>
        <w:tabs>
          <w:tab w:val="left" w:pos="1258"/>
        </w:tabs>
        <w:ind w:left="1258" w:hanging="420"/>
      </w:pPr>
    </w:lvl>
    <w:lvl w:ilvl="3" w:tentative="0">
      <w:start w:val="1"/>
      <w:numFmt w:val="decimal"/>
      <w:lvlText w:val="%4."/>
      <w:lvlJc w:val="left"/>
      <w:pPr>
        <w:tabs>
          <w:tab w:val="left" w:pos="1678"/>
        </w:tabs>
        <w:ind w:left="1678" w:hanging="420"/>
      </w:pPr>
    </w:lvl>
    <w:lvl w:ilvl="4" w:tentative="0">
      <w:start w:val="1"/>
      <w:numFmt w:val="lowerLetter"/>
      <w:lvlText w:val="%5)"/>
      <w:lvlJc w:val="left"/>
      <w:pPr>
        <w:tabs>
          <w:tab w:val="left" w:pos="2098"/>
        </w:tabs>
        <w:ind w:left="2098" w:hanging="420"/>
      </w:pPr>
    </w:lvl>
    <w:lvl w:ilvl="5" w:tentative="0">
      <w:start w:val="1"/>
      <w:numFmt w:val="lowerRoman"/>
      <w:lvlText w:val="%6."/>
      <w:lvlJc w:val="right"/>
      <w:pPr>
        <w:tabs>
          <w:tab w:val="left" w:pos="2518"/>
        </w:tabs>
        <w:ind w:left="2518" w:hanging="420"/>
      </w:pPr>
    </w:lvl>
    <w:lvl w:ilvl="6" w:tentative="0">
      <w:start w:val="1"/>
      <w:numFmt w:val="decimal"/>
      <w:lvlText w:val="%7."/>
      <w:lvlJc w:val="left"/>
      <w:pPr>
        <w:tabs>
          <w:tab w:val="left" w:pos="2938"/>
        </w:tabs>
        <w:ind w:left="2938" w:hanging="420"/>
      </w:pPr>
    </w:lvl>
    <w:lvl w:ilvl="7" w:tentative="0">
      <w:start w:val="1"/>
      <w:numFmt w:val="lowerLetter"/>
      <w:lvlText w:val="%8)"/>
      <w:lvlJc w:val="left"/>
      <w:pPr>
        <w:tabs>
          <w:tab w:val="left" w:pos="3358"/>
        </w:tabs>
        <w:ind w:left="3358" w:hanging="420"/>
      </w:pPr>
    </w:lvl>
    <w:lvl w:ilvl="8" w:tentative="0">
      <w:start w:val="1"/>
      <w:numFmt w:val="lowerRoman"/>
      <w:lvlText w:val="%9."/>
      <w:lvlJc w:val="right"/>
      <w:pPr>
        <w:tabs>
          <w:tab w:val="left" w:pos="3778"/>
        </w:tabs>
        <w:ind w:left="3778" w:hanging="420"/>
      </w:pPr>
    </w:lvl>
  </w:abstractNum>
  <w:abstractNum w:abstractNumId="21">
    <w:nsid w:val="36FDDD5C"/>
    <w:multiLevelType w:val="singleLevel"/>
    <w:tmpl w:val="36FDDD5C"/>
    <w:lvl w:ilvl="0" w:tentative="0">
      <w:start w:val="7"/>
      <w:numFmt w:val="chineseCounting"/>
      <w:suff w:val="nothing"/>
      <w:lvlText w:val="%1、"/>
      <w:lvlJc w:val="left"/>
      <w:rPr>
        <w:rFonts w:hint="eastAsia"/>
      </w:rPr>
    </w:lvl>
  </w:abstractNum>
  <w:abstractNum w:abstractNumId="22">
    <w:nsid w:val="3B516471"/>
    <w:multiLevelType w:val="singleLevel"/>
    <w:tmpl w:val="3B516471"/>
    <w:lvl w:ilvl="0" w:tentative="0">
      <w:start w:val="1"/>
      <w:numFmt w:val="decimal"/>
      <w:pStyle w:val="359"/>
      <w:lvlText w:val="%1."/>
      <w:lvlJc w:val="left"/>
      <w:pPr>
        <w:tabs>
          <w:tab w:val="left" w:pos="360"/>
        </w:tabs>
        <w:ind w:left="0" w:firstLine="0"/>
      </w:pPr>
      <w:rPr>
        <w:rFonts w:hint="default" w:ascii="Arial" w:hAnsi="Arial" w:eastAsia="宋体"/>
      </w:rPr>
    </w:lvl>
  </w:abstractNum>
  <w:abstractNum w:abstractNumId="23">
    <w:nsid w:val="3F26E049"/>
    <w:multiLevelType w:val="singleLevel"/>
    <w:tmpl w:val="3F26E049"/>
    <w:lvl w:ilvl="0" w:tentative="0">
      <w:start w:val="5"/>
      <w:numFmt w:val="chineseCounting"/>
      <w:suff w:val="space"/>
      <w:lvlText w:val="第%1部分"/>
      <w:lvlJc w:val="left"/>
      <w:rPr>
        <w:rFonts w:hint="eastAsia"/>
      </w:rPr>
    </w:lvl>
  </w:abstractNum>
  <w:abstractNum w:abstractNumId="24">
    <w:nsid w:val="46D22D8F"/>
    <w:multiLevelType w:val="multilevel"/>
    <w:tmpl w:val="46D22D8F"/>
    <w:lvl w:ilvl="0" w:tentative="0">
      <w:start w:val="1"/>
      <w:numFmt w:val="none"/>
      <w:pStyle w:val="237"/>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4E3A3E5B"/>
    <w:multiLevelType w:val="multilevel"/>
    <w:tmpl w:val="4E3A3E5B"/>
    <w:lvl w:ilvl="0" w:tentative="0">
      <w:start w:val="4"/>
      <w:numFmt w:val="japaneseCounting"/>
      <w:pStyle w:val="118"/>
      <w:lvlText w:val="第%1条"/>
      <w:lvlJc w:val="left"/>
      <w:pPr>
        <w:tabs>
          <w:tab w:val="left" w:pos="1560"/>
        </w:tabs>
        <w:ind w:left="1560" w:hanging="960"/>
      </w:pPr>
      <w:rPr>
        <w:rFonts w:hint="default"/>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26">
    <w:nsid w:val="4E846A6C"/>
    <w:multiLevelType w:val="multilevel"/>
    <w:tmpl w:val="4E846A6C"/>
    <w:lvl w:ilvl="0" w:tentative="0">
      <w:start w:val="1"/>
      <w:numFmt w:val="decimal"/>
      <w:pStyle w:val="72"/>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4F302902"/>
    <w:multiLevelType w:val="multilevel"/>
    <w:tmpl w:val="4F302902"/>
    <w:lvl w:ilvl="0" w:tentative="0">
      <w:start w:val="1"/>
      <w:numFmt w:val="none"/>
      <w:pStyle w:val="195"/>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350366A"/>
    <w:multiLevelType w:val="multilevel"/>
    <w:tmpl w:val="6350366A"/>
    <w:lvl w:ilvl="0" w:tentative="0">
      <w:start w:val="1"/>
      <w:numFmt w:val="none"/>
      <w:pStyle w:val="13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A8377DA"/>
    <w:multiLevelType w:val="multilevel"/>
    <w:tmpl w:val="6A8377DA"/>
    <w:lvl w:ilvl="0" w:tentative="0">
      <w:start w:val="1"/>
      <w:numFmt w:val="decimal"/>
      <w:pStyle w:val="22"/>
      <w:lvlText w:val="（%1）"/>
      <w:lvlJc w:val="left"/>
      <w:pPr>
        <w:tabs>
          <w:tab w:val="left" w:pos="1560"/>
        </w:tabs>
        <w:ind w:left="1560" w:hanging="1080"/>
      </w:pPr>
      <w:rPr>
        <w:rFonts w:hint="default"/>
      </w:rPr>
    </w:lvl>
    <w:lvl w:ilvl="1" w:tentative="0">
      <w:start w:val="2"/>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pStyle w:val="302"/>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0">
    <w:nsid w:val="76933334"/>
    <w:multiLevelType w:val="multilevel"/>
    <w:tmpl w:val="76933334"/>
    <w:lvl w:ilvl="0" w:tentative="0">
      <w:start w:val="1"/>
      <w:numFmt w:val="none"/>
      <w:pStyle w:val="207"/>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9296A2B"/>
    <w:multiLevelType w:val="multilevel"/>
    <w:tmpl w:val="79296A2B"/>
    <w:lvl w:ilvl="0" w:tentative="0">
      <w:start w:val="1"/>
      <w:numFmt w:val="decimal"/>
      <w:pStyle w:val="192"/>
      <w:lvlText w:val="（%1）"/>
      <w:lvlJc w:val="left"/>
      <w:pPr>
        <w:tabs>
          <w:tab w:val="left" w:pos="1560"/>
        </w:tabs>
        <w:ind w:left="1560" w:hanging="720"/>
      </w:pPr>
      <w:rPr>
        <w:rFonts w:hint="default"/>
      </w:rPr>
    </w:lvl>
    <w:lvl w:ilvl="1" w:tentative="0">
      <w:start w:val="5"/>
      <w:numFmt w:val="decimalFullWidth"/>
      <w:lvlText w:val="%2、"/>
      <w:lvlJc w:val="left"/>
      <w:pPr>
        <w:tabs>
          <w:tab w:val="left" w:pos="1620"/>
        </w:tabs>
        <w:ind w:left="1620" w:hanging="360"/>
      </w:pPr>
      <w:rPr>
        <w:rFonts w:hint="default"/>
      </w:rPr>
    </w:lvl>
    <w:lvl w:ilvl="2" w:tentative="0">
      <w:start w:val="2"/>
      <w:numFmt w:val="japaneseCounting"/>
      <w:lvlText w:val="%3、"/>
      <w:lvlJc w:val="left"/>
      <w:pPr>
        <w:tabs>
          <w:tab w:val="left" w:pos="2160"/>
        </w:tabs>
        <w:ind w:left="2160" w:hanging="480"/>
      </w:pPr>
      <w:rPr>
        <w:rFonts w:hint="default"/>
      </w:rPr>
    </w:lvl>
    <w:lvl w:ilvl="3" w:tentative="0">
      <w:start w:val="2"/>
      <w:numFmt w:val="decimal"/>
      <w:lvlText w:val="%4）"/>
      <w:lvlJc w:val="left"/>
      <w:pPr>
        <w:tabs>
          <w:tab w:val="left" w:pos="2460"/>
        </w:tabs>
        <w:ind w:left="2460" w:hanging="360"/>
      </w:pPr>
      <w:rPr>
        <w:rFonts w:hint="default"/>
      </w:rPr>
    </w:lvl>
    <w:lvl w:ilvl="4" w:tentative="0">
      <w:start w:val="1"/>
      <w:numFmt w:val="japaneseCounting"/>
      <w:pStyle w:val="7"/>
      <w:lvlText w:val="（%5）"/>
      <w:lvlJc w:val="left"/>
      <w:pPr>
        <w:tabs>
          <w:tab w:val="left" w:pos="3240"/>
        </w:tabs>
        <w:ind w:left="3240" w:hanging="720"/>
      </w:pPr>
      <w:rPr>
        <w:rFonts w:hint="default"/>
      </w:rPr>
    </w:lvl>
    <w:lvl w:ilvl="5" w:tentative="0">
      <w:start w:val="1"/>
      <w:numFmt w:val="lowerRoman"/>
      <w:pStyle w:val="8"/>
      <w:lvlText w:val="%6."/>
      <w:lvlJc w:val="right"/>
      <w:pPr>
        <w:tabs>
          <w:tab w:val="left" w:pos="3360"/>
        </w:tabs>
        <w:ind w:left="3360" w:hanging="420"/>
      </w:pPr>
    </w:lvl>
    <w:lvl w:ilvl="6" w:tentative="0">
      <w:start w:val="1"/>
      <w:numFmt w:val="decimal"/>
      <w:pStyle w:val="9"/>
      <w:lvlText w:val="%7."/>
      <w:lvlJc w:val="left"/>
      <w:pPr>
        <w:tabs>
          <w:tab w:val="left" w:pos="3780"/>
        </w:tabs>
        <w:ind w:left="3780" w:hanging="420"/>
      </w:pPr>
    </w:lvl>
    <w:lvl w:ilvl="7" w:tentative="0">
      <w:start w:val="1"/>
      <w:numFmt w:val="lowerLetter"/>
      <w:pStyle w:val="10"/>
      <w:lvlText w:val="%8)"/>
      <w:lvlJc w:val="left"/>
      <w:pPr>
        <w:tabs>
          <w:tab w:val="left" w:pos="4200"/>
        </w:tabs>
        <w:ind w:left="4200" w:hanging="420"/>
      </w:pPr>
    </w:lvl>
    <w:lvl w:ilvl="8" w:tentative="0">
      <w:start w:val="1"/>
      <w:numFmt w:val="lowerRoman"/>
      <w:pStyle w:val="11"/>
      <w:lvlText w:val="%9."/>
      <w:lvlJc w:val="right"/>
      <w:pPr>
        <w:tabs>
          <w:tab w:val="left" w:pos="4620"/>
        </w:tabs>
        <w:ind w:left="4620" w:hanging="420"/>
      </w:pPr>
    </w:lvl>
  </w:abstractNum>
  <w:abstractNum w:abstractNumId="32">
    <w:nsid w:val="7DCF4C24"/>
    <w:multiLevelType w:val="multilevel"/>
    <w:tmpl w:val="7DCF4C24"/>
    <w:lvl w:ilvl="0" w:tentative="0">
      <w:start w:val="1"/>
      <w:numFmt w:val="decimal"/>
      <w:lvlText w:val="%1."/>
      <w:lvlJc w:val="left"/>
      <w:pPr>
        <w:ind w:left="425" w:hanging="425"/>
      </w:pPr>
    </w:lvl>
    <w:lvl w:ilvl="1" w:tentative="0">
      <w:start w:val="1"/>
      <w:numFmt w:val="decimal"/>
      <w:pStyle w:val="280"/>
      <w:lvlText w:val="%1.%2."/>
      <w:lvlJc w:val="left"/>
      <w:pPr>
        <w:ind w:left="567" w:hanging="567"/>
      </w:pPr>
    </w:lvl>
    <w:lvl w:ilvl="2" w:tentative="0">
      <w:start w:val="1"/>
      <w:numFmt w:val="decimal"/>
      <w:pStyle w:val="124"/>
      <w:lvlText w:val="%1.%2.%3."/>
      <w:lvlJc w:val="left"/>
      <w:pPr>
        <w:ind w:left="5246"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1"/>
  </w:num>
  <w:num w:numId="2">
    <w:abstractNumId w:val="11"/>
  </w:num>
  <w:num w:numId="3">
    <w:abstractNumId w:val="29"/>
  </w:num>
  <w:num w:numId="4">
    <w:abstractNumId w:val="20"/>
  </w:num>
  <w:num w:numId="5">
    <w:abstractNumId w:val="26"/>
  </w:num>
  <w:num w:numId="6">
    <w:abstractNumId w:val="2"/>
  </w:num>
  <w:num w:numId="7">
    <w:abstractNumId w:val="9"/>
  </w:num>
  <w:num w:numId="8">
    <w:abstractNumId w:val="25"/>
  </w:num>
  <w:num w:numId="9">
    <w:abstractNumId w:val="32"/>
  </w:num>
  <w:num w:numId="10">
    <w:abstractNumId w:val="28"/>
  </w:num>
  <w:num w:numId="11">
    <w:abstractNumId w:val="10"/>
  </w:num>
  <w:num w:numId="12">
    <w:abstractNumId w:val="6"/>
  </w:num>
  <w:num w:numId="13">
    <w:abstractNumId w:val="18"/>
  </w:num>
  <w:num w:numId="14">
    <w:abstractNumId w:val="7"/>
  </w:num>
  <w:num w:numId="15">
    <w:abstractNumId w:val="15"/>
  </w:num>
  <w:num w:numId="16">
    <w:abstractNumId w:val="27"/>
  </w:num>
  <w:num w:numId="17">
    <w:abstractNumId w:val="4"/>
  </w:num>
  <w:num w:numId="18">
    <w:abstractNumId w:val="30"/>
  </w:num>
  <w:num w:numId="19">
    <w:abstractNumId w:val="8"/>
  </w:num>
  <w:num w:numId="20">
    <w:abstractNumId w:val="12"/>
  </w:num>
  <w:num w:numId="21">
    <w:abstractNumId w:val="13"/>
  </w:num>
  <w:num w:numId="22">
    <w:abstractNumId w:val="24"/>
  </w:num>
  <w:num w:numId="23">
    <w:abstractNumId w:val="16"/>
  </w:num>
  <w:num w:numId="24">
    <w:abstractNumId w:val="1"/>
  </w:num>
  <w:num w:numId="25">
    <w:abstractNumId w:val="5"/>
  </w:num>
  <w:num w:numId="26">
    <w:abstractNumId w:val="14"/>
  </w:num>
  <w:num w:numId="27">
    <w:abstractNumId w:val="22"/>
  </w:num>
  <w:num w:numId="28">
    <w:abstractNumId w:val="23"/>
  </w:num>
  <w:num w:numId="29">
    <w:abstractNumId w:val="17"/>
  </w:num>
  <w:num w:numId="30">
    <w:abstractNumId w:val="3"/>
  </w:num>
  <w:num w:numId="31">
    <w:abstractNumId w:val="19"/>
  </w:num>
  <w:num w:numId="32">
    <w:abstractNumId w:val="2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95"/>
    <w:rsid w:val="000022CD"/>
    <w:rsid w:val="00006628"/>
    <w:rsid w:val="00006D4C"/>
    <w:rsid w:val="000129CE"/>
    <w:rsid w:val="00012A6F"/>
    <w:rsid w:val="00020D7D"/>
    <w:rsid w:val="00023625"/>
    <w:rsid w:val="00023B4F"/>
    <w:rsid w:val="00037A0A"/>
    <w:rsid w:val="00041701"/>
    <w:rsid w:val="00062F46"/>
    <w:rsid w:val="00066ACF"/>
    <w:rsid w:val="00073483"/>
    <w:rsid w:val="0007421F"/>
    <w:rsid w:val="00074B36"/>
    <w:rsid w:val="000861E8"/>
    <w:rsid w:val="000A75BF"/>
    <w:rsid w:val="000B2F73"/>
    <w:rsid w:val="000B5CEF"/>
    <w:rsid w:val="000C1062"/>
    <w:rsid w:val="000C4E11"/>
    <w:rsid w:val="000D5CE5"/>
    <w:rsid w:val="00107D7A"/>
    <w:rsid w:val="00110EB2"/>
    <w:rsid w:val="00117BDD"/>
    <w:rsid w:val="001364BA"/>
    <w:rsid w:val="00145153"/>
    <w:rsid w:val="00163B21"/>
    <w:rsid w:val="0016433F"/>
    <w:rsid w:val="00172A27"/>
    <w:rsid w:val="00176C90"/>
    <w:rsid w:val="0018176D"/>
    <w:rsid w:val="00183A0D"/>
    <w:rsid w:val="00195056"/>
    <w:rsid w:val="001A54C7"/>
    <w:rsid w:val="001B2628"/>
    <w:rsid w:val="001B26FF"/>
    <w:rsid w:val="001C0F31"/>
    <w:rsid w:val="001C45E1"/>
    <w:rsid w:val="001F5A0B"/>
    <w:rsid w:val="001F7F75"/>
    <w:rsid w:val="0020121B"/>
    <w:rsid w:val="00201A9D"/>
    <w:rsid w:val="002027FD"/>
    <w:rsid w:val="00206A6D"/>
    <w:rsid w:val="00212240"/>
    <w:rsid w:val="00234494"/>
    <w:rsid w:val="00236C1F"/>
    <w:rsid w:val="00236FB6"/>
    <w:rsid w:val="00240CFB"/>
    <w:rsid w:val="00260561"/>
    <w:rsid w:val="0027352B"/>
    <w:rsid w:val="0027552F"/>
    <w:rsid w:val="00281B46"/>
    <w:rsid w:val="002823BC"/>
    <w:rsid w:val="0028454C"/>
    <w:rsid w:val="00291B0A"/>
    <w:rsid w:val="00297A17"/>
    <w:rsid w:val="002A21C8"/>
    <w:rsid w:val="002E5425"/>
    <w:rsid w:val="002E777D"/>
    <w:rsid w:val="002F7709"/>
    <w:rsid w:val="002F7C68"/>
    <w:rsid w:val="00313AE7"/>
    <w:rsid w:val="003229D0"/>
    <w:rsid w:val="003320E4"/>
    <w:rsid w:val="003352F8"/>
    <w:rsid w:val="003442BC"/>
    <w:rsid w:val="00344CE1"/>
    <w:rsid w:val="0035332D"/>
    <w:rsid w:val="00361C52"/>
    <w:rsid w:val="00364DFF"/>
    <w:rsid w:val="0038267F"/>
    <w:rsid w:val="003A3C0D"/>
    <w:rsid w:val="003A6BF8"/>
    <w:rsid w:val="003B0CB6"/>
    <w:rsid w:val="003B1B8F"/>
    <w:rsid w:val="003B4B11"/>
    <w:rsid w:val="003B667F"/>
    <w:rsid w:val="003C35A5"/>
    <w:rsid w:val="003C4E45"/>
    <w:rsid w:val="003C5BCC"/>
    <w:rsid w:val="003D28F2"/>
    <w:rsid w:val="003D3D08"/>
    <w:rsid w:val="003F3CD5"/>
    <w:rsid w:val="003F43E6"/>
    <w:rsid w:val="00403E2B"/>
    <w:rsid w:val="00406EAD"/>
    <w:rsid w:val="00416802"/>
    <w:rsid w:val="004178EE"/>
    <w:rsid w:val="00421435"/>
    <w:rsid w:val="00426466"/>
    <w:rsid w:val="00426933"/>
    <w:rsid w:val="00446760"/>
    <w:rsid w:val="00456836"/>
    <w:rsid w:val="0046259E"/>
    <w:rsid w:val="00470652"/>
    <w:rsid w:val="00477B8A"/>
    <w:rsid w:val="00491EE9"/>
    <w:rsid w:val="004C550D"/>
    <w:rsid w:val="004C68FE"/>
    <w:rsid w:val="004D1D01"/>
    <w:rsid w:val="004F20EB"/>
    <w:rsid w:val="004F3497"/>
    <w:rsid w:val="004F7A15"/>
    <w:rsid w:val="00501007"/>
    <w:rsid w:val="00501032"/>
    <w:rsid w:val="00506C85"/>
    <w:rsid w:val="00515A29"/>
    <w:rsid w:val="00520436"/>
    <w:rsid w:val="005249B9"/>
    <w:rsid w:val="0053535C"/>
    <w:rsid w:val="00540037"/>
    <w:rsid w:val="00553079"/>
    <w:rsid w:val="00576916"/>
    <w:rsid w:val="005A5B7A"/>
    <w:rsid w:val="005A799F"/>
    <w:rsid w:val="005B7A68"/>
    <w:rsid w:val="005C3030"/>
    <w:rsid w:val="005D06AA"/>
    <w:rsid w:val="005E0D6D"/>
    <w:rsid w:val="005E3AD9"/>
    <w:rsid w:val="00611A52"/>
    <w:rsid w:val="00614607"/>
    <w:rsid w:val="00615529"/>
    <w:rsid w:val="00621DBB"/>
    <w:rsid w:val="006338B2"/>
    <w:rsid w:val="0064148C"/>
    <w:rsid w:val="00651FC7"/>
    <w:rsid w:val="006561E3"/>
    <w:rsid w:val="00657ED7"/>
    <w:rsid w:val="00663D0A"/>
    <w:rsid w:val="00667CDF"/>
    <w:rsid w:val="00670C9A"/>
    <w:rsid w:val="00673D38"/>
    <w:rsid w:val="00681FD1"/>
    <w:rsid w:val="00693B94"/>
    <w:rsid w:val="006A00E4"/>
    <w:rsid w:val="006A046F"/>
    <w:rsid w:val="006A0868"/>
    <w:rsid w:val="006B1015"/>
    <w:rsid w:val="006B6E5E"/>
    <w:rsid w:val="006B6E72"/>
    <w:rsid w:val="006D3EC4"/>
    <w:rsid w:val="006D6843"/>
    <w:rsid w:val="006F2D4B"/>
    <w:rsid w:val="006F3AB1"/>
    <w:rsid w:val="006F74CC"/>
    <w:rsid w:val="007018B6"/>
    <w:rsid w:val="00706F26"/>
    <w:rsid w:val="00721B21"/>
    <w:rsid w:val="00722B9A"/>
    <w:rsid w:val="00732A99"/>
    <w:rsid w:val="007336F9"/>
    <w:rsid w:val="007359A2"/>
    <w:rsid w:val="00736385"/>
    <w:rsid w:val="007556FD"/>
    <w:rsid w:val="007768B4"/>
    <w:rsid w:val="0078723D"/>
    <w:rsid w:val="007A7680"/>
    <w:rsid w:val="007A7AF3"/>
    <w:rsid w:val="007B2C7A"/>
    <w:rsid w:val="007B7145"/>
    <w:rsid w:val="007C0AB5"/>
    <w:rsid w:val="007D4DA4"/>
    <w:rsid w:val="007D57DE"/>
    <w:rsid w:val="007E0BBA"/>
    <w:rsid w:val="00814F99"/>
    <w:rsid w:val="00823515"/>
    <w:rsid w:val="008268A7"/>
    <w:rsid w:val="00845D7F"/>
    <w:rsid w:val="008516D4"/>
    <w:rsid w:val="00851D5B"/>
    <w:rsid w:val="008552B7"/>
    <w:rsid w:val="0087055F"/>
    <w:rsid w:val="00871BC5"/>
    <w:rsid w:val="00881FF5"/>
    <w:rsid w:val="00883534"/>
    <w:rsid w:val="008848D9"/>
    <w:rsid w:val="00884927"/>
    <w:rsid w:val="00885E0E"/>
    <w:rsid w:val="00886C58"/>
    <w:rsid w:val="0089083A"/>
    <w:rsid w:val="00890F4F"/>
    <w:rsid w:val="008B4A80"/>
    <w:rsid w:val="008C13AE"/>
    <w:rsid w:val="008D3048"/>
    <w:rsid w:val="008E65B6"/>
    <w:rsid w:val="008F4DFF"/>
    <w:rsid w:val="00912BC8"/>
    <w:rsid w:val="00913725"/>
    <w:rsid w:val="009247A4"/>
    <w:rsid w:val="00927CBA"/>
    <w:rsid w:val="009302A0"/>
    <w:rsid w:val="00937149"/>
    <w:rsid w:val="00942851"/>
    <w:rsid w:val="00946A49"/>
    <w:rsid w:val="00950121"/>
    <w:rsid w:val="009546A2"/>
    <w:rsid w:val="00957A1B"/>
    <w:rsid w:val="00972862"/>
    <w:rsid w:val="00972E64"/>
    <w:rsid w:val="009A2AB5"/>
    <w:rsid w:val="009A4807"/>
    <w:rsid w:val="009A7895"/>
    <w:rsid w:val="009C06A4"/>
    <w:rsid w:val="009C2CB8"/>
    <w:rsid w:val="009D1667"/>
    <w:rsid w:val="009F48C5"/>
    <w:rsid w:val="00A04860"/>
    <w:rsid w:val="00A060D4"/>
    <w:rsid w:val="00A1118F"/>
    <w:rsid w:val="00A15459"/>
    <w:rsid w:val="00A179B2"/>
    <w:rsid w:val="00A20138"/>
    <w:rsid w:val="00A34964"/>
    <w:rsid w:val="00A37145"/>
    <w:rsid w:val="00A472BE"/>
    <w:rsid w:val="00A53EB2"/>
    <w:rsid w:val="00A56B0D"/>
    <w:rsid w:val="00A72767"/>
    <w:rsid w:val="00A8226C"/>
    <w:rsid w:val="00A825C7"/>
    <w:rsid w:val="00A827E1"/>
    <w:rsid w:val="00AA2A9F"/>
    <w:rsid w:val="00AD518C"/>
    <w:rsid w:val="00AE7C8C"/>
    <w:rsid w:val="00B113F4"/>
    <w:rsid w:val="00B21880"/>
    <w:rsid w:val="00B24E81"/>
    <w:rsid w:val="00B31D77"/>
    <w:rsid w:val="00B32A25"/>
    <w:rsid w:val="00B332F6"/>
    <w:rsid w:val="00B37040"/>
    <w:rsid w:val="00B433A3"/>
    <w:rsid w:val="00B4603F"/>
    <w:rsid w:val="00B46A21"/>
    <w:rsid w:val="00B63814"/>
    <w:rsid w:val="00B75E60"/>
    <w:rsid w:val="00B86C3E"/>
    <w:rsid w:val="00B86E46"/>
    <w:rsid w:val="00B917D9"/>
    <w:rsid w:val="00B924DD"/>
    <w:rsid w:val="00B977FF"/>
    <w:rsid w:val="00BB2F15"/>
    <w:rsid w:val="00BB3BFE"/>
    <w:rsid w:val="00BD3684"/>
    <w:rsid w:val="00BE067D"/>
    <w:rsid w:val="00BE0BB1"/>
    <w:rsid w:val="00BE133F"/>
    <w:rsid w:val="00BE51C1"/>
    <w:rsid w:val="00BF32A4"/>
    <w:rsid w:val="00BF7881"/>
    <w:rsid w:val="00C003D7"/>
    <w:rsid w:val="00C00EC9"/>
    <w:rsid w:val="00C06D78"/>
    <w:rsid w:val="00C112B0"/>
    <w:rsid w:val="00C35D75"/>
    <w:rsid w:val="00C57E93"/>
    <w:rsid w:val="00C67E5A"/>
    <w:rsid w:val="00C72D48"/>
    <w:rsid w:val="00C90CAF"/>
    <w:rsid w:val="00C95695"/>
    <w:rsid w:val="00CA55A5"/>
    <w:rsid w:val="00CA598A"/>
    <w:rsid w:val="00CB0FBE"/>
    <w:rsid w:val="00CC3E2B"/>
    <w:rsid w:val="00CC6068"/>
    <w:rsid w:val="00CD0634"/>
    <w:rsid w:val="00CE3EDB"/>
    <w:rsid w:val="00CF323D"/>
    <w:rsid w:val="00D0137F"/>
    <w:rsid w:val="00D2384C"/>
    <w:rsid w:val="00D3560E"/>
    <w:rsid w:val="00D533EE"/>
    <w:rsid w:val="00D54F29"/>
    <w:rsid w:val="00D5665C"/>
    <w:rsid w:val="00D57475"/>
    <w:rsid w:val="00D74047"/>
    <w:rsid w:val="00D7586E"/>
    <w:rsid w:val="00D9759D"/>
    <w:rsid w:val="00DB15E9"/>
    <w:rsid w:val="00DC42C2"/>
    <w:rsid w:val="00DD44F1"/>
    <w:rsid w:val="00E00A1E"/>
    <w:rsid w:val="00E036B7"/>
    <w:rsid w:val="00E075CF"/>
    <w:rsid w:val="00E239A4"/>
    <w:rsid w:val="00E252AA"/>
    <w:rsid w:val="00E27DEA"/>
    <w:rsid w:val="00E3679A"/>
    <w:rsid w:val="00E50A63"/>
    <w:rsid w:val="00E61513"/>
    <w:rsid w:val="00E61D28"/>
    <w:rsid w:val="00E62E44"/>
    <w:rsid w:val="00E93991"/>
    <w:rsid w:val="00EA601B"/>
    <w:rsid w:val="00EB0BFA"/>
    <w:rsid w:val="00EB5E7C"/>
    <w:rsid w:val="00ED2D24"/>
    <w:rsid w:val="00ED60E0"/>
    <w:rsid w:val="00EE4FD3"/>
    <w:rsid w:val="00F10402"/>
    <w:rsid w:val="00F13686"/>
    <w:rsid w:val="00F250FE"/>
    <w:rsid w:val="00F25313"/>
    <w:rsid w:val="00F2627D"/>
    <w:rsid w:val="00F36BF9"/>
    <w:rsid w:val="00F40358"/>
    <w:rsid w:val="00F53EBF"/>
    <w:rsid w:val="00F5781B"/>
    <w:rsid w:val="00F61448"/>
    <w:rsid w:val="00F63634"/>
    <w:rsid w:val="00F80C3F"/>
    <w:rsid w:val="00F82D42"/>
    <w:rsid w:val="00F85660"/>
    <w:rsid w:val="00F9734A"/>
    <w:rsid w:val="00FA5B29"/>
    <w:rsid w:val="00FB01F6"/>
    <w:rsid w:val="00FB4E14"/>
    <w:rsid w:val="00FC07F3"/>
    <w:rsid w:val="00FC28BE"/>
    <w:rsid w:val="00FC2AD8"/>
    <w:rsid w:val="00FC605D"/>
    <w:rsid w:val="00FF45F8"/>
    <w:rsid w:val="00FF7CFA"/>
    <w:rsid w:val="012B5F8D"/>
    <w:rsid w:val="021839EA"/>
    <w:rsid w:val="027E13CF"/>
    <w:rsid w:val="02EE388D"/>
    <w:rsid w:val="04BF5123"/>
    <w:rsid w:val="05672F07"/>
    <w:rsid w:val="06F13671"/>
    <w:rsid w:val="07BD2485"/>
    <w:rsid w:val="08521A73"/>
    <w:rsid w:val="087448F0"/>
    <w:rsid w:val="08AD492C"/>
    <w:rsid w:val="0B1C5B64"/>
    <w:rsid w:val="0BC762DB"/>
    <w:rsid w:val="0E8469C5"/>
    <w:rsid w:val="0ED42F8C"/>
    <w:rsid w:val="0F8805CE"/>
    <w:rsid w:val="0FA35642"/>
    <w:rsid w:val="0FB95C77"/>
    <w:rsid w:val="102E575F"/>
    <w:rsid w:val="10A17E2E"/>
    <w:rsid w:val="112D041E"/>
    <w:rsid w:val="12D16353"/>
    <w:rsid w:val="13202202"/>
    <w:rsid w:val="13434240"/>
    <w:rsid w:val="1352321F"/>
    <w:rsid w:val="14AC1BE7"/>
    <w:rsid w:val="153433C0"/>
    <w:rsid w:val="163C01D3"/>
    <w:rsid w:val="1798345A"/>
    <w:rsid w:val="17C43581"/>
    <w:rsid w:val="1821485A"/>
    <w:rsid w:val="190A7DE1"/>
    <w:rsid w:val="1A5264B3"/>
    <w:rsid w:val="1A9D5CD9"/>
    <w:rsid w:val="1BD861CA"/>
    <w:rsid w:val="1C0B7FDA"/>
    <w:rsid w:val="1C3F0208"/>
    <w:rsid w:val="1DC96161"/>
    <w:rsid w:val="1EA9233F"/>
    <w:rsid w:val="1F0C5C81"/>
    <w:rsid w:val="1F784D8C"/>
    <w:rsid w:val="207B7D28"/>
    <w:rsid w:val="21572E60"/>
    <w:rsid w:val="21C11CC1"/>
    <w:rsid w:val="222D2113"/>
    <w:rsid w:val="229618B4"/>
    <w:rsid w:val="22C25992"/>
    <w:rsid w:val="254978C0"/>
    <w:rsid w:val="255A5660"/>
    <w:rsid w:val="264863EF"/>
    <w:rsid w:val="272E79E6"/>
    <w:rsid w:val="27AE0321"/>
    <w:rsid w:val="27C510EC"/>
    <w:rsid w:val="29880107"/>
    <w:rsid w:val="2B512A64"/>
    <w:rsid w:val="2E191A5D"/>
    <w:rsid w:val="2EE5065B"/>
    <w:rsid w:val="2EF6474F"/>
    <w:rsid w:val="2EFB30DC"/>
    <w:rsid w:val="2F0F4A6C"/>
    <w:rsid w:val="30625869"/>
    <w:rsid w:val="31826A30"/>
    <w:rsid w:val="32290DD0"/>
    <w:rsid w:val="323A5A09"/>
    <w:rsid w:val="32EC1DDF"/>
    <w:rsid w:val="3380648A"/>
    <w:rsid w:val="346E5BE3"/>
    <w:rsid w:val="349A5E32"/>
    <w:rsid w:val="356C5977"/>
    <w:rsid w:val="362E62DD"/>
    <w:rsid w:val="364A3AE1"/>
    <w:rsid w:val="37317CFF"/>
    <w:rsid w:val="38E348CE"/>
    <w:rsid w:val="3CBE2D0F"/>
    <w:rsid w:val="3CFD1F63"/>
    <w:rsid w:val="3DCA0936"/>
    <w:rsid w:val="3E352AFF"/>
    <w:rsid w:val="3E732599"/>
    <w:rsid w:val="3F4E5893"/>
    <w:rsid w:val="3F9A514F"/>
    <w:rsid w:val="409B2A58"/>
    <w:rsid w:val="40CE6D53"/>
    <w:rsid w:val="413D7244"/>
    <w:rsid w:val="41602C8C"/>
    <w:rsid w:val="419C1802"/>
    <w:rsid w:val="42FE021E"/>
    <w:rsid w:val="43072A32"/>
    <w:rsid w:val="43791074"/>
    <w:rsid w:val="45727C2C"/>
    <w:rsid w:val="45E4191A"/>
    <w:rsid w:val="46BF153A"/>
    <w:rsid w:val="46EB32F1"/>
    <w:rsid w:val="47B92010"/>
    <w:rsid w:val="4880793F"/>
    <w:rsid w:val="4AC3521B"/>
    <w:rsid w:val="4B6C0519"/>
    <w:rsid w:val="4B864FEB"/>
    <w:rsid w:val="4C2D7100"/>
    <w:rsid w:val="4C59095E"/>
    <w:rsid w:val="4E2E5F74"/>
    <w:rsid w:val="4E692C94"/>
    <w:rsid w:val="4E711CE3"/>
    <w:rsid w:val="4E7864C3"/>
    <w:rsid w:val="4E826DFD"/>
    <w:rsid w:val="4F537144"/>
    <w:rsid w:val="4FF63EC3"/>
    <w:rsid w:val="50802B02"/>
    <w:rsid w:val="55194F24"/>
    <w:rsid w:val="55340825"/>
    <w:rsid w:val="55AE46C3"/>
    <w:rsid w:val="5638227D"/>
    <w:rsid w:val="582F09F1"/>
    <w:rsid w:val="585C2865"/>
    <w:rsid w:val="587603A5"/>
    <w:rsid w:val="589C2038"/>
    <w:rsid w:val="59500535"/>
    <w:rsid w:val="5A836ABA"/>
    <w:rsid w:val="5A941345"/>
    <w:rsid w:val="5AAC21B2"/>
    <w:rsid w:val="5B380557"/>
    <w:rsid w:val="5B4A0F34"/>
    <w:rsid w:val="5BE07B65"/>
    <w:rsid w:val="5C081DC8"/>
    <w:rsid w:val="5CE1157E"/>
    <w:rsid w:val="5DE30FB5"/>
    <w:rsid w:val="5EBB6205"/>
    <w:rsid w:val="5F6138EB"/>
    <w:rsid w:val="5F82067E"/>
    <w:rsid w:val="60652EEA"/>
    <w:rsid w:val="609F07A3"/>
    <w:rsid w:val="60B53A0A"/>
    <w:rsid w:val="60D768A4"/>
    <w:rsid w:val="625F0B7B"/>
    <w:rsid w:val="62D10B11"/>
    <w:rsid w:val="62E047CD"/>
    <w:rsid w:val="62F82F85"/>
    <w:rsid w:val="63225B08"/>
    <w:rsid w:val="63E3089B"/>
    <w:rsid w:val="64E20B3F"/>
    <w:rsid w:val="64F812FF"/>
    <w:rsid w:val="65900CEC"/>
    <w:rsid w:val="66144030"/>
    <w:rsid w:val="665B40FE"/>
    <w:rsid w:val="675F5473"/>
    <w:rsid w:val="681C0FC4"/>
    <w:rsid w:val="68773D92"/>
    <w:rsid w:val="68FA6DBF"/>
    <w:rsid w:val="69701A97"/>
    <w:rsid w:val="69B675E3"/>
    <w:rsid w:val="69C455C7"/>
    <w:rsid w:val="6A7F1C80"/>
    <w:rsid w:val="6B70113B"/>
    <w:rsid w:val="6B7E208D"/>
    <w:rsid w:val="6BC250D2"/>
    <w:rsid w:val="6CDB0270"/>
    <w:rsid w:val="6D06557D"/>
    <w:rsid w:val="6D586E5B"/>
    <w:rsid w:val="6DAD1349"/>
    <w:rsid w:val="6E4069C2"/>
    <w:rsid w:val="6F3C590E"/>
    <w:rsid w:val="6F512288"/>
    <w:rsid w:val="70B94D8E"/>
    <w:rsid w:val="71553DDE"/>
    <w:rsid w:val="718532D7"/>
    <w:rsid w:val="71B36DE0"/>
    <w:rsid w:val="73A96A40"/>
    <w:rsid w:val="73E4526A"/>
    <w:rsid w:val="73E71FFC"/>
    <w:rsid w:val="745A4C5D"/>
    <w:rsid w:val="7620458F"/>
    <w:rsid w:val="769518A3"/>
    <w:rsid w:val="77557B34"/>
    <w:rsid w:val="77DA0350"/>
    <w:rsid w:val="780000BA"/>
    <w:rsid w:val="78C125C5"/>
    <w:rsid w:val="7AE65A1F"/>
    <w:rsid w:val="7B992DA4"/>
    <w:rsid w:val="7BAD4689"/>
    <w:rsid w:val="7C317AF4"/>
    <w:rsid w:val="7C7A55E4"/>
    <w:rsid w:val="7C891493"/>
    <w:rsid w:val="7D843ACE"/>
    <w:rsid w:val="7DC30EE2"/>
    <w:rsid w:val="7E974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nhideWhenUsed="0"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iPriority="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65"/>
    <w:qFormat/>
    <w:uiPriority w:val="0"/>
    <w:pPr>
      <w:keepNext/>
      <w:keepLines/>
      <w:spacing w:before="340" w:after="330" w:line="578" w:lineRule="auto"/>
      <w:outlineLvl w:val="0"/>
    </w:pPr>
    <w:rPr>
      <w:rFonts w:eastAsia="楷体_GB2312"/>
      <w:b/>
      <w:kern w:val="44"/>
      <w:sz w:val="72"/>
    </w:rPr>
  </w:style>
  <w:style w:type="paragraph" w:styleId="3">
    <w:name w:val="heading 2"/>
    <w:basedOn w:val="1"/>
    <w:next w:val="1"/>
    <w:qFormat/>
    <w:uiPriority w:val="0"/>
    <w:pPr>
      <w:keepNext/>
      <w:keepLines/>
      <w:spacing w:before="20" w:after="20" w:line="500" w:lineRule="exact"/>
      <w:outlineLvl w:val="1"/>
    </w:pPr>
    <w:rPr>
      <w:rFonts w:ascii="宋体" w:hAnsi="宋体"/>
      <w:b/>
      <w:sz w:val="28"/>
    </w:rPr>
  </w:style>
  <w:style w:type="paragraph" w:styleId="4">
    <w:name w:val="heading 3"/>
    <w:basedOn w:val="1"/>
    <w:next w:val="5"/>
    <w:link w:val="398"/>
    <w:qFormat/>
    <w:uiPriority w:val="0"/>
    <w:pPr>
      <w:keepNext/>
      <w:keepLines/>
      <w:spacing w:before="260" w:after="260" w:line="400" w:lineRule="exact"/>
      <w:outlineLvl w:val="2"/>
    </w:pPr>
    <w:rPr>
      <w:rFonts w:ascii="宋体" w:hAnsi="宋体"/>
      <w:b/>
      <w:sz w:val="24"/>
    </w:rPr>
  </w:style>
  <w:style w:type="paragraph" w:styleId="6">
    <w:name w:val="heading 4"/>
    <w:basedOn w:val="1"/>
    <w:next w:val="5"/>
    <w:link w:val="435"/>
    <w:qFormat/>
    <w:uiPriority w:val="0"/>
    <w:pPr>
      <w:keepNext/>
      <w:spacing w:line="480" w:lineRule="atLeast"/>
      <w:jc w:val="left"/>
      <w:outlineLvl w:val="3"/>
    </w:pPr>
    <w:rPr>
      <w:rFonts w:ascii="楷体_GB2312" w:eastAsia="楷体_GB2312"/>
      <w:sz w:val="30"/>
    </w:rPr>
  </w:style>
  <w:style w:type="paragraph" w:styleId="7">
    <w:name w:val="heading 5"/>
    <w:basedOn w:val="1"/>
    <w:next w:val="1"/>
    <w:link w:val="430"/>
    <w:qFormat/>
    <w:uiPriority w:val="0"/>
    <w:pPr>
      <w:widowControl/>
      <w:numPr>
        <w:ilvl w:val="4"/>
        <w:numId w:val="1"/>
      </w:numPr>
      <w:tabs>
        <w:tab w:val="left" w:pos="709"/>
        <w:tab w:val="left" w:pos="1560"/>
      </w:tabs>
      <w:spacing w:before="240" w:after="156" w:afterLines="50"/>
      <w:outlineLvl w:val="4"/>
    </w:pPr>
    <w:rPr>
      <w:rFonts w:ascii="Arial" w:hAnsi="Arial"/>
      <w:kern w:val="0"/>
      <w:sz w:val="22"/>
    </w:rPr>
  </w:style>
  <w:style w:type="paragraph" w:styleId="8">
    <w:name w:val="heading 6"/>
    <w:basedOn w:val="1"/>
    <w:next w:val="1"/>
    <w:link w:val="368"/>
    <w:qFormat/>
    <w:uiPriority w:val="0"/>
    <w:pPr>
      <w:widowControl/>
      <w:numPr>
        <w:ilvl w:val="5"/>
        <w:numId w:val="1"/>
      </w:numPr>
      <w:tabs>
        <w:tab w:val="left" w:pos="709"/>
        <w:tab w:val="left" w:pos="1560"/>
      </w:tabs>
      <w:spacing w:before="240" w:after="156" w:afterLines="50"/>
      <w:outlineLvl w:val="5"/>
    </w:pPr>
    <w:rPr>
      <w:rFonts w:hAnsi="Arial"/>
      <w:i/>
      <w:kern w:val="0"/>
      <w:sz w:val="22"/>
    </w:rPr>
  </w:style>
  <w:style w:type="paragraph" w:styleId="9">
    <w:name w:val="heading 7"/>
    <w:basedOn w:val="1"/>
    <w:next w:val="1"/>
    <w:link w:val="396"/>
    <w:qFormat/>
    <w:uiPriority w:val="0"/>
    <w:pPr>
      <w:widowControl/>
      <w:numPr>
        <w:ilvl w:val="6"/>
        <w:numId w:val="1"/>
      </w:numPr>
      <w:tabs>
        <w:tab w:val="left" w:pos="709"/>
        <w:tab w:val="left" w:pos="1560"/>
      </w:tabs>
      <w:spacing w:before="240" w:after="156" w:afterLines="50"/>
      <w:outlineLvl w:val="6"/>
    </w:pPr>
    <w:rPr>
      <w:rFonts w:ascii="Arial" w:hAnsi="Arial"/>
      <w:kern w:val="0"/>
      <w:sz w:val="20"/>
    </w:rPr>
  </w:style>
  <w:style w:type="paragraph" w:styleId="10">
    <w:name w:val="heading 8"/>
    <w:basedOn w:val="1"/>
    <w:next w:val="1"/>
    <w:link w:val="429"/>
    <w:qFormat/>
    <w:uiPriority w:val="0"/>
    <w:pPr>
      <w:widowControl/>
      <w:numPr>
        <w:ilvl w:val="7"/>
        <w:numId w:val="1"/>
      </w:numPr>
      <w:tabs>
        <w:tab w:val="left" w:pos="709"/>
        <w:tab w:val="left" w:pos="1560"/>
      </w:tabs>
      <w:spacing w:before="240" w:after="156" w:afterLines="50"/>
      <w:outlineLvl w:val="7"/>
    </w:pPr>
    <w:rPr>
      <w:rFonts w:ascii="Arial" w:hAnsi="Arial"/>
      <w:i/>
      <w:kern w:val="0"/>
      <w:sz w:val="20"/>
    </w:rPr>
  </w:style>
  <w:style w:type="paragraph" w:styleId="11">
    <w:name w:val="heading 9"/>
    <w:basedOn w:val="1"/>
    <w:next w:val="1"/>
    <w:link w:val="428"/>
    <w:qFormat/>
    <w:uiPriority w:val="0"/>
    <w:pPr>
      <w:widowControl/>
      <w:numPr>
        <w:ilvl w:val="8"/>
        <w:numId w:val="1"/>
      </w:numPr>
      <w:tabs>
        <w:tab w:val="left" w:pos="709"/>
        <w:tab w:val="left" w:pos="1560"/>
      </w:tabs>
      <w:spacing w:before="240" w:after="156" w:afterLines="50"/>
      <w:outlineLvl w:val="8"/>
    </w:pPr>
    <w:rPr>
      <w:rFonts w:ascii="Arial" w:hAnsi="Arial"/>
      <w:b/>
      <w:i/>
      <w:kern w:val="0"/>
      <w:sz w:val="18"/>
    </w:rPr>
  </w:style>
  <w:style w:type="character" w:default="1" w:styleId="52">
    <w:name w:val="Default Paragraph Font"/>
    <w:semiHidden/>
    <w:unhideWhenUsed/>
    <w:qFormat/>
    <w:uiPriority w:val="1"/>
  </w:style>
  <w:style w:type="table" w:default="1" w:styleId="61">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link w:val="456"/>
    <w:qFormat/>
    <w:uiPriority w:val="0"/>
    <w:pPr>
      <w:ind w:firstLine="420"/>
    </w:pPr>
  </w:style>
  <w:style w:type="paragraph" w:styleId="12">
    <w:name w:val="annotation subject"/>
    <w:basedOn w:val="13"/>
    <w:next w:val="13"/>
    <w:link w:val="372"/>
    <w:qFormat/>
    <w:uiPriority w:val="0"/>
    <w:rPr>
      <w:b/>
      <w:bCs/>
      <w:szCs w:val="20"/>
    </w:rPr>
  </w:style>
  <w:style w:type="paragraph" w:styleId="13">
    <w:name w:val="annotation text"/>
    <w:basedOn w:val="1"/>
    <w:link w:val="389"/>
    <w:qFormat/>
    <w:uiPriority w:val="99"/>
    <w:pPr>
      <w:jc w:val="left"/>
    </w:pPr>
    <w:rPr>
      <w:szCs w:val="24"/>
    </w:rPr>
  </w:style>
  <w:style w:type="paragraph" w:styleId="14">
    <w:name w:val="toc 7"/>
    <w:basedOn w:val="1"/>
    <w:next w:val="1"/>
    <w:unhideWhenUsed/>
    <w:qFormat/>
    <w:uiPriority w:val="0"/>
    <w:pPr>
      <w:ind w:left="1260"/>
      <w:jc w:val="left"/>
    </w:pPr>
    <w:rPr>
      <w:rFonts w:ascii="Calibri" w:hAnsi="Calibri"/>
      <w:sz w:val="18"/>
      <w:szCs w:val="18"/>
    </w:rPr>
  </w:style>
  <w:style w:type="paragraph" w:styleId="15">
    <w:name w:val="Body Text First Indent"/>
    <w:basedOn w:val="16"/>
    <w:link w:val="463"/>
    <w:qFormat/>
    <w:uiPriority w:val="0"/>
    <w:pPr>
      <w:widowControl/>
      <w:spacing w:after="120" w:line="240" w:lineRule="auto"/>
      <w:ind w:firstLine="420" w:firstLineChars="100"/>
      <w:jc w:val="left"/>
    </w:pPr>
    <w:rPr>
      <w:b w:val="0"/>
      <w:sz w:val="21"/>
    </w:rPr>
  </w:style>
  <w:style w:type="paragraph" w:styleId="16">
    <w:name w:val="Body Text"/>
    <w:basedOn w:val="1"/>
    <w:link w:val="466"/>
    <w:qFormat/>
    <w:uiPriority w:val="0"/>
    <w:pPr>
      <w:spacing w:line="480" w:lineRule="atLeast"/>
    </w:pPr>
    <w:rPr>
      <w:rFonts w:ascii="楷体_GB2312" w:eastAsia="楷体_GB2312"/>
      <w:b/>
      <w:sz w:val="30"/>
    </w:rPr>
  </w:style>
  <w:style w:type="paragraph" w:styleId="17">
    <w:name w:val="caption"/>
    <w:basedOn w:val="1"/>
    <w:next w:val="1"/>
    <w:qFormat/>
    <w:uiPriority w:val="0"/>
    <w:rPr>
      <w:rFonts w:ascii="Arial" w:hAnsi="Arial" w:eastAsia="黑体" w:cs="Arial"/>
      <w:sz w:val="20"/>
    </w:rPr>
  </w:style>
  <w:style w:type="paragraph" w:styleId="18">
    <w:name w:val="List Bullet"/>
    <w:basedOn w:val="1"/>
    <w:qFormat/>
    <w:uiPriority w:val="0"/>
    <w:pPr>
      <w:numPr>
        <w:ilvl w:val="0"/>
        <w:numId w:val="2"/>
      </w:numPr>
      <w:tabs>
        <w:tab w:val="left" w:pos="358"/>
      </w:tabs>
      <w:autoSpaceDE w:val="0"/>
      <w:autoSpaceDN w:val="0"/>
      <w:adjustRightInd w:val="0"/>
      <w:snapToGrid w:val="0"/>
      <w:spacing w:line="360" w:lineRule="auto"/>
      <w:ind w:left="480" w:hanging="480" w:hangingChars="200"/>
      <w:textAlignment w:val="baseline"/>
    </w:pPr>
    <w:rPr>
      <w:rFonts w:ascii="宋体" w:hAnsi="Tms Rmn"/>
      <w:snapToGrid w:val="0"/>
      <w:color w:val="000000"/>
      <w:kern w:val="24"/>
      <w:sz w:val="24"/>
    </w:rPr>
  </w:style>
  <w:style w:type="paragraph" w:styleId="19">
    <w:name w:val="Document Map"/>
    <w:basedOn w:val="1"/>
    <w:link w:val="436"/>
    <w:qFormat/>
    <w:uiPriority w:val="99"/>
    <w:pPr>
      <w:shd w:val="clear" w:color="auto" w:fill="000080"/>
    </w:pPr>
  </w:style>
  <w:style w:type="paragraph" w:styleId="20">
    <w:name w:val="toa heading"/>
    <w:basedOn w:val="1"/>
    <w:next w:val="1"/>
    <w:qFormat/>
    <w:uiPriority w:val="0"/>
    <w:pPr>
      <w:spacing w:before="120"/>
    </w:pPr>
    <w:rPr>
      <w:rFonts w:ascii="Arial" w:hAnsi="Arial" w:cs="Arial"/>
      <w:sz w:val="24"/>
      <w:szCs w:val="24"/>
    </w:rPr>
  </w:style>
  <w:style w:type="paragraph" w:styleId="21">
    <w:name w:val="Body Text 3"/>
    <w:basedOn w:val="1"/>
    <w:link w:val="469"/>
    <w:qFormat/>
    <w:uiPriority w:val="0"/>
    <w:pPr>
      <w:spacing w:line="480" w:lineRule="exact"/>
    </w:pPr>
    <w:rPr>
      <w:rFonts w:ascii="宋体" w:hAnsi="宋体"/>
      <w:sz w:val="24"/>
    </w:rPr>
  </w:style>
  <w:style w:type="paragraph" w:styleId="22">
    <w:name w:val="List Bullet 3"/>
    <w:basedOn w:val="1"/>
    <w:qFormat/>
    <w:uiPriority w:val="0"/>
    <w:pPr>
      <w:numPr>
        <w:ilvl w:val="0"/>
        <w:numId w:val="3"/>
      </w:numPr>
      <w:tabs>
        <w:tab w:val="left" w:pos="905"/>
      </w:tabs>
      <w:ind w:left="905"/>
    </w:pPr>
    <w:rPr>
      <w:sz w:val="24"/>
    </w:rPr>
  </w:style>
  <w:style w:type="paragraph" w:styleId="23">
    <w:name w:val="Body Text Indent"/>
    <w:basedOn w:val="1"/>
    <w:link w:val="424"/>
    <w:qFormat/>
    <w:uiPriority w:val="0"/>
    <w:pPr>
      <w:ind w:firstLine="700" w:firstLineChars="250"/>
    </w:pPr>
    <w:rPr>
      <w:rFonts w:ascii="楷体_GB2312" w:hAnsi="宋体" w:eastAsia="楷体_GB2312"/>
      <w:sz w:val="28"/>
    </w:rPr>
  </w:style>
  <w:style w:type="paragraph" w:styleId="24">
    <w:name w:val="Block Text"/>
    <w:basedOn w:val="1"/>
    <w:qFormat/>
    <w:uiPriority w:val="0"/>
    <w:pPr>
      <w:spacing w:after="120"/>
      <w:ind w:left="1440" w:leftChars="700" w:right="1440" w:rightChars="700"/>
    </w:pPr>
    <w:rPr>
      <w:szCs w:val="24"/>
    </w:rPr>
  </w:style>
  <w:style w:type="paragraph" w:styleId="25">
    <w:name w:val="toc 5"/>
    <w:basedOn w:val="1"/>
    <w:next w:val="1"/>
    <w:unhideWhenUsed/>
    <w:qFormat/>
    <w:uiPriority w:val="0"/>
    <w:pPr>
      <w:ind w:left="840"/>
      <w:jc w:val="left"/>
    </w:pPr>
    <w:rPr>
      <w:rFonts w:ascii="Calibri" w:hAnsi="Calibri"/>
      <w:sz w:val="18"/>
      <w:szCs w:val="18"/>
    </w:rPr>
  </w:style>
  <w:style w:type="paragraph" w:styleId="26">
    <w:name w:val="toc 3"/>
    <w:basedOn w:val="1"/>
    <w:next w:val="1"/>
    <w:qFormat/>
    <w:uiPriority w:val="39"/>
    <w:pPr>
      <w:tabs>
        <w:tab w:val="right" w:leader="dot" w:pos="9345"/>
        <w:tab w:val="right" w:leader="dot" w:pos="9450"/>
      </w:tabs>
      <w:spacing w:line="360" w:lineRule="auto"/>
      <w:ind w:left="525"/>
      <w:jc w:val="left"/>
    </w:pPr>
    <w:rPr>
      <w:i/>
      <w:iCs/>
      <w:szCs w:val="24"/>
    </w:rPr>
  </w:style>
  <w:style w:type="paragraph" w:styleId="27">
    <w:name w:val="Plain Text"/>
    <w:basedOn w:val="1"/>
    <w:link w:val="410"/>
    <w:qFormat/>
    <w:uiPriority w:val="0"/>
    <w:rPr>
      <w:rFonts w:ascii="宋体" w:hAnsi="Courier New"/>
    </w:rPr>
  </w:style>
  <w:style w:type="paragraph" w:styleId="28">
    <w:name w:val="toc 8"/>
    <w:basedOn w:val="1"/>
    <w:next w:val="1"/>
    <w:qFormat/>
    <w:uiPriority w:val="0"/>
    <w:pPr>
      <w:ind w:left="1470"/>
      <w:jc w:val="left"/>
    </w:pPr>
    <w:rPr>
      <w:rFonts w:ascii="Calibri" w:hAnsi="Calibri"/>
      <w:sz w:val="18"/>
      <w:szCs w:val="18"/>
    </w:rPr>
  </w:style>
  <w:style w:type="paragraph" w:styleId="29">
    <w:name w:val="Date"/>
    <w:basedOn w:val="1"/>
    <w:next w:val="1"/>
    <w:link w:val="421"/>
    <w:qFormat/>
    <w:uiPriority w:val="0"/>
    <w:pPr>
      <w:autoSpaceDE w:val="0"/>
      <w:autoSpaceDN w:val="0"/>
      <w:adjustRightInd w:val="0"/>
      <w:spacing w:line="312" w:lineRule="atLeast"/>
      <w:textAlignment w:val="baseline"/>
    </w:pPr>
    <w:rPr>
      <w:kern w:val="0"/>
      <w:sz w:val="32"/>
    </w:rPr>
  </w:style>
  <w:style w:type="paragraph" w:styleId="30">
    <w:name w:val="Body Text Indent 2"/>
    <w:basedOn w:val="1"/>
    <w:link w:val="382"/>
    <w:qFormat/>
    <w:uiPriority w:val="0"/>
    <w:pPr>
      <w:widowControl/>
      <w:ind w:left="840" w:hanging="840"/>
    </w:pPr>
    <w:rPr>
      <w:rFonts w:ascii="楷体_GB2312" w:eastAsia="楷体_GB2312"/>
      <w:sz w:val="28"/>
    </w:rPr>
  </w:style>
  <w:style w:type="paragraph" w:styleId="31">
    <w:name w:val="Balloon Text"/>
    <w:basedOn w:val="1"/>
    <w:link w:val="443"/>
    <w:qFormat/>
    <w:uiPriority w:val="0"/>
    <w:rPr>
      <w:sz w:val="18"/>
      <w:szCs w:val="18"/>
    </w:rPr>
  </w:style>
  <w:style w:type="paragraph" w:styleId="32">
    <w:name w:val="footer"/>
    <w:basedOn w:val="1"/>
    <w:link w:val="434"/>
    <w:qFormat/>
    <w:uiPriority w:val="0"/>
    <w:pPr>
      <w:tabs>
        <w:tab w:val="center" w:pos="4153"/>
        <w:tab w:val="right" w:pos="8306"/>
      </w:tabs>
      <w:snapToGrid w:val="0"/>
      <w:jc w:val="left"/>
    </w:pPr>
    <w:rPr>
      <w:sz w:val="18"/>
    </w:rPr>
  </w:style>
  <w:style w:type="paragraph" w:styleId="33">
    <w:name w:val="Body Text First Indent 2"/>
    <w:basedOn w:val="23"/>
    <w:link w:val="363"/>
    <w:qFormat/>
    <w:uiPriority w:val="0"/>
    <w:pPr>
      <w:spacing w:after="120"/>
      <w:ind w:left="420" w:leftChars="200" w:firstLine="420" w:firstLineChars="200"/>
    </w:pPr>
    <w:rPr>
      <w:rFonts w:ascii="宋体" w:eastAsia="宋体"/>
      <w:sz w:val="21"/>
      <w:szCs w:val="24"/>
    </w:rPr>
  </w:style>
  <w:style w:type="paragraph" w:styleId="34">
    <w:name w:val="header"/>
    <w:basedOn w:val="1"/>
    <w:link w:val="397"/>
    <w:qFormat/>
    <w:uiPriority w:val="0"/>
    <w:pPr>
      <w:pBdr>
        <w:bottom w:val="thinThickMediumGap" w:color="auto" w:sz="18" w:space="1"/>
      </w:pBdr>
      <w:tabs>
        <w:tab w:val="center" w:pos="4153"/>
        <w:tab w:val="right" w:pos="8306"/>
      </w:tabs>
      <w:snapToGrid w:val="0"/>
      <w:jc w:val="center"/>
    </w:pPr>
    <w:rPr>
      <w:sz w:val="18"/>
      <w:szCs w:val="18"/>
    </w:rPr>
  </w:style>
  <w:style w:type="paragraph" w:styleId="35">
    <w:name w:val="Signature"/>
    <w:basedOn w:val="1"/>
    <w:link w:val="419"/>
    <w:qFormat/>
    <w:uiPriority w:val="0"/>
    <w:pPr>
      <w:ind w:left="4320"/>
    </w:pPr>
    <w:rPr>
      <w:rFonts w:ascii="Calibri" w:hAnsi="Calibri" w:eastAsia="楷体_GB2312"/>
      <w:szCs w:val="22"/>
    </w:rPr>
  </w:style>
  <w:style w:type="paragraph" w:styleId="36">
    <w:name w:val="toc 1"/>
    <w:basedOn w:val="1"/>
    <w:next w:val="1"/>
    <w:qFormat/>
    <w:uiPriority w:val="39"/>
    <w:pPr>
      <w:tabs>
        <w:tab w:val="right" w:leader="dot" w:pos="9180"/>
      </w:tabs>
      <w:spacing w:after="120" w:line="480" w:lineRule="auto"/>
      <w:jc w:val="center"/>
    </w:pPr>
    <w:rPr>
      <w:b/>
      <w:sz w:val="28"/>
      <w:szCs w:val="28"/>
    </w:rPr>
  </w:style>
  <w:style w:type="paragraph" w:styleId="37">
    <w:name w:val="toc 4"/>
    <w:basedOn w:val="1"/>
    <w:next w:val="1"/>
    <w:unhideWhenUsed/>
    <w:qFormat/>
    <w:uiPriority w:val="0"/>
    <w:pPr>
      <w:ind w:left="630"/>
      <w:jc w:val="left"/>
    </w:pPr>
    <w:rPr>
      <w:rFonts w:ascii="Calibri" w:hAnsi="Calibri"/>
      <w:sz w:val="18"/>
      <w:szCs w:val="18"/>
    </w:rPr>
  </w:style>
  <w:style w:type="paragraph" w:styleId="38">
    <w:name w:val="index heading"/>
    <w:basedOn w:val="1"/>
    <w:next w:val="39"/>
    <w:qFormat/>
    <w:uiPriority w:val="0"/>
  </w:style>
  <w:style w:type="paragraph" w:styleId="39">
    <w:name w:val="index 1"/>
    <w:basedOn w:val="1"/>
    <w:next w:val="1"/>
    <w:qFormat/>
    <w:uiPriority w:val="0"/>
    <w:pPr>
      <w:spacing w:line="360" w:lineRule="auto"/>
      <w:jc w:val="center"/>
    </w:pPr>
    <w:rPr>
      <w:rFonts w:ascii="宋体" w:hAnsi="宋体"/>
      <w:kern w:val="0"/>
      <w:szCs w:val="24"/>
    </w:rPr>
  </w:style>
  <w:style w:type="paragraph" w:styleId="40">
    <w:name w:val="List"/>
    <w:basedOn w:val="1"/>
    <w:qFormat/>
    <w:uiPriority w:val="0"/>
    <w:pPr>
      <w:numPr>
        <w:ilvl w:val="0"/>
        <w:numId w:val="4"/>
      </w:numPr>
      <w:tabs>
        <w:tab w:val="left" w:pos="360"/>
        <w:tab w:val="left" w:pos="709"/>
        <w:tab w:val="clear" w:pos="718"/>
      </w:tabs>
      <w:spacing w:line="300" w:lineRule="auto"/>
      <w:ind w:left="363" w:hanging="170"/>
    </w:pPr>
    <w:rPr>
      <w:spacing w:val="20"/>
    </w:rPr>
  </w:style>
  <w:style w:type="paragraph" w:styleId="41">
    <w:name w:val="footnote text"/>
    <w:basedOn w:val="1"/>
    <w:link w:val="415"/>
    <w:qFormat/>
    <w:uiPriority w:val="0"/>
    <w:pPr>
      <w:snapToGrid w:val="0"/>
      <w:jc w:val="left"/>
    </w:pPr>
    <w:rPr>
      <w:sz w:val="18"/>
      <w:szCs w:val="18"/>
    </w:rPr>
  </w:style>
  <w:style w:type="paragraph" w:styleId="42">
    <w:name w:val="toc 6"/>
    <w:basedOn w:val="1"/>
    <w:next w:val="1"/>
    <w:unhideWhenUsed/>
    <w:qFormat/>
    <w:uiPriority w:val="0"/>
    <w:pPr>
      <w:ind w:left="1050"/>
      <w:jc w:val="left"/>
    </w:pPr>
    <w:rPr>
      <w:rFonts w:ascii="Calibri" w:hAnsi="Calibri"/>
      <w:sz w:val="18"/>
      <w:szCs w:val="18"/>
    </w:rPr>
  </w:style>
  <w:style w:type="paragraph" w:styleId="43">
    <w:name w:val="Body Text Indent 3"/>
    <w:basedOn w:val="1"/>
    <w:link w:val="426"/>
    <w:qFormat/>
    <w:uiPriority w:val="0"/>
    <w:pPr>
      <w:spacing w:after="120"/>
      <w:ind w:left="420" w:leftChars="200"/>
    </w:pPr>
    <w:rPr>
      <w:sz w:val="16"/>
      <w:szCs w:val="16"/>
    </w:rPr>
  </w:style>
  <w:style w:type="paragraph" w:styleId="44">
    <w:name w:val="table of figures"/>
    <w:basedOn w:val="1"/>
    <w:next w:val="1"/>
    <w:qFormat/>
    <w:uiPriority w:val="0"/>
    <w:pPr>
      <w:spacing w:beforeLines="50" w:afterLines="50"/>
      <w:jc w:val="center"/>
    </w:pPr>
    <w:rPr>
      <w:b/>
      <w:sz w:val="28"/>
      <w:szCs w:val="24"/>
    </w:rPr>
  </w:style>
  <w:style w:type="paragraph" w:styleId="45">
    <w:name w:val="toc 2"/>
    <w:basedOn w:val="1"/>
    <w:next w:val="1"/>
    <w:qFormat/>
    <w:uiPriority w:val="39"/>
    <w:pPr>
      <w:tabs>
        <w:tab w:val="right" w:leader="dot" w:pos="9180"/>
      </w:tabs>
      <w:spacing w:line="360" w:lineRule="auto"/>
      <w:ind w:left="210"/>
      <w:jc w:val="left"/>
    </w:pPr>
    <w:rPr>
      <w:smallCaps/>
      <w:szCs w:val="24"/>
    </w:rPr>
  </w:style>
  <w:style w:type="paragraph" w:styleId="46">
    <w:name w:val="toc 9"/>
    <w:basedOn w:val="1"/>
    <w:next w:val="1"/>
    <w:unhideWhenUsed/>
    <w:qFormat/>
    <w:uiPriority w:val="0"/>
    <w:pPr>
      <w:ind w:left="1680"/>
      <w:jc w:val="left"/>
    </w:pPr>
    <w:rPr>
      <w:rFonts w:ascii="Calibri" w:hAnsi="Calibri"/>
      <w:sz w:val="18"/>
      <w:szCs w:val="18"/>
    </w:rPr>
  </w:style>
  <w:style w:type="paragraph" w:styleId="47">
    <w:name w:val="Body Text 2"/>
    <w:basedOn w:val="1"/>
    <w:link w:val="399"/>
    <w:qFormat/>
    <w:uiPriority w:val="0"/>
    <w:rPr>
      <w:rFonts w:eastAsia="楷体_GB2312"/>
      <w:sz w:val="28"/>
    </w:rPr>
  </w:style>
  <w:style w:type="paragraph" w:styleId="48">
    <w:name w:val="List Continue 2"/>
    <w:basedOn w:val="1"/>
    <w:qFormat/>
    <w:uiPriority w:val="0"/>
    <w:pPr>
      <w:spacing w:after="120"/>
      <w:ind w:left="840" w:leftChars="400"/>
    </w:pPr>
    <w:rPr>
      <w:szCs w:val="24"/>
    </w:rPr>
  </w:style>
  <w:style w:type="paragraph" w:styleId="49">
    <w:name w:val="HTML Preformatted"/>
    <w:basedOn w:val="1"/>
    <w:link w:val="4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5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51">
    <w:name w:val="Title"/>
    <w:basedOn w:val="1"/>
    <w:link w:val="393"/>
    <w:qFormat/>
    <w:uiPriority w:val="0"/>
    <w:pPr>
      <w:spacing w:before="240" w:after="60"/>
      <w:jc w:val="center"/>
      <w:outlineLvl w:val="0"/>
    </w:pPr>
    <w:rPr>
      <w:rFonts w:ascii="Arial" w:hAnsi="Arial" w:cs="Arial"/>
      <w:b/>
      <w:bCs/>
      <w:sz w:val="32"/>
      <w:szCs w:val="32"/>
    </w:rPr>
  </w:style>
  <w:style w:type="character" w:styleId="53">
    <w:name w:val="Strong"/>
    <w:qFormat/>
    <w:uiPriority w:val="0"/>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0"/>
    <w:rPr>
      <w:color w:val="CC0000"/>
    </w:rPr>
  </w:style>
  <w:style w:type="character" w:styleId="57">
    <w:name w:val="HTML Definition"/>
    <w:qFormat/>
    <w:uiPriority w:val="0"/>
    <w:rPr>
      <w:i/>
      <w:iCs/>
    </w:rPr>
  </w:style>
  <w:style w:type="character" w:styleId="58">
    <w:name w:val="Hyperlink"/>
    <w:qFormat/>
    <w:uiPriority w:val="99"/>
    <w:rPr>
      <w:color w:val="0000FF"/>
      <w:u w:val="single"/>
    </w:rPr>
  </w:style>
  <w:style w:type="character" w:styleId="59">
    <w:name w:val="annotation reference"/>
    <w:qFormat/>
    <w:uiPriority w:val="99"/>
    <w:rPr>
      <w:sz w:val="21"/>
      <w:szCs w:val="21"/>
    </w:rPr>
  </w:style>
  <w:style w:type="character" w:styleId="60">
    <w:name w:val="footnote reference"/>
    <w:qFormat/>
    <w:uiPriority w:val="0"/>
    <w:rPr>
      <w:vertAlign w:val="superscript"/>
    </w:rPr>
  </w:style>
  <w:style w:type="table" w:styleId="62">
    <w:name w:val="Table Grid"/>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3">
    <w:name w:val="cnfont"/>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64">
    <w:name w:val="Char Char Char Char Char Char Char Char Char Char"/>
    <w:basedOn w:val="1"/>
    <w:uiPriority w:val="0"/>
    <w:pPr>
      <w:widowControl/>
      <w:spacing w:after="160" w:line="240" w:lineRule="exact"/>
      <w:jc w:val="left"/>
    </w:pPr>
    <w:rPr>
      <w:rFonts w:ascii="Verdana" w:hAnsi="Verdana" w:eastAsia="仿宋_GB2312"/>
      <w:kern w:val="0"/>
      <w:sz w:val="24"/>
      <w:lang w:eastAsia="en-US"/>
    </w:rPr>
  </w:style>
  <w:style w:type="paragraph" w:customStyle="1" w:styleId="65">
    <w:name w:val="xl83"/>
    <w:basedOn w:val="1"/>
    <w:qFormat/>
    <w:uiPriority w:val="0"/>
    <w:pPr>
      <w:widowControl/>
      <w:pBdr>
        <w:left w:val="single" w:color="auto" w:sz="4" w:space="0"/>
        <w:right w:val="single" w:color="auto" w:sz="12" w:space="0"/>
      </w:pBdr>
      <w:spacing w:before="100" w:beforeAutospacing="1" w:after="100" w:afterAutospacing="1"/>
      <w:jc w:val="center"/>
    </w:pPr>
    <w:rPr>
      <w:rFonts w:ascii="宋体" w:hAnsi="宋体" w:cs="宋体"/>
      <w:kern w:val="0"/>
      <w:sz w:val="20"/>
    </w:rPr>
  </w:style>
  <w:style w:type="paragraph" w:customStyle="1" w:styleId="6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67">
    <w:name w:val="Char Char Char Char Char Char1 Char Char Char Char Char Char Char Char Char Char Char Char Char Char Char Char Char Char Char Char Char Char Char Char Char Char Char Char Char Char Char Char Char Char"/>
    <w:basedOn w:val="1"/>
    <w:uiPriority w:val="0"/>
    <w:pPr>
      <w:spacing w:after="160" w:line="240" w:lineRule="exact"/>
    </w:pPr>
    <w:rPr>
      <w:szCs w:val="24"/>
    </w:rPr>
  </w:style>
  <w:style w:type="paragraph" w:customStyle="1" w:styleId="68">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9">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rPr>
  </w:style>
  <w:style w:type="paragraph" w:customStyle="1" w:styleId="70">
    <w:name w:val="CM42"/>
    <w:basedOn w:val="71"/>
    <w:next w:val="71"/>
    <w:qFormat/>
    <w:uiPriority w:val="0"/>
    <w:pPr>
      <w:spacing w:after="420"/>
    </w:pPr>
    <w:rPr>
      <w:rFonts w:ascii="黑体" w:hAnsi="Times New Roman" w:eastAsia="黑体" w:cs="Times New Roman"/>
      <w:color w:val="auto"/>
    </w:rPr>
  </w:style>
  <w:style w:type="paragraph" w:customStyle="1" w:styleId="71">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72">
    <w:name w:val="表头"/>
    <w:basedOn w:val="17"/>
    <w:uiPriority w:val="0"/>
    <w:pPr>
      <w:keepNext/>
      <w:keepLines/>
      <w:widowControl/>
      <w:numPr>
        <w:ilvl w:val="0"/>
        <w:numId w:val="5"/>
      </w:numPr>
      <w:spacing w:before="120" w:after="120" w:line="300" w:lineRule="auto"/>
      <w:ind w:left="0" w:firstLine="0"/>
      <w:jc w:val="center"/>
      <w:textAlignment w:val="baseline"/>
    </w:pPr>
    <w:rPr>
      <w:rFonts w:cs="Times New Roman"/>
      <w:kern w:val="0"/>
      <w:sz w:val="21"/>
    </w:rPr>
  </w:style>
  <w:style w:type="paragraph" w:customStyle="1" w:styleId="73">
    <w:name w:val="more"/>
    <w:basedOn w:val="1"/>
    <w:qFormat/>
    <w:uiPriority w:val="0"/>
    <w:pPr>
      <w:widowControl/>
      <w:spacing w:before="100" w:beforeAutospacing="1" w:after="100" w:afterAutospacing="1"/>
      <w:jc w:val="left"/>
    </w:pPr>
    <w:rPr>
      <w:rFonts w:ascii="宋体" w:hAnsi="宋体" w:cs="宋体"/>
      <w:color w:val="C50002"/>
      <w:kern w:val="0"/>
      <w:sz w:val="18"/>
      <w:szCs w:val="18"/>
    </w:rPr>
  </w:style>
  <w:style w:type="paragraph" w:customStyle="1" w:styleId="74">
    <w:name w:val="Char Char Char1 Char Char Char Char"/>
    <w:basedOn w:val="1"/>
    <w:qFormat/>
    <w:uiPriority w:val="0"/>
    <w:rPr>
      <w:sz w:val="30"/>
    </w:rPr>
  </w:style>
  <w:style w:type="paragraph" w:customStyle="1" w:styleId="75">
    <w:name w:val="目次、索引正文"/>
    <w:qFormat/>
    <w:uiPriority w:val="0"/>
    <w:pPr>
      <w:numPr>
        <w:ilvl w:val="0"/>
        <w:numId w:val="6"/>
      </w:numPr>
      <w:spacing w:line="320" w:lineRule="exact"/>
      <w:ind w:left="0" w:firstLine="0"/>
      <w:jc w:val="both"/>
    </w:pPr>
    <w:rPr>
      <w:rFonts w:ascii="宋体" w:hAnsi="Times New Roman" w:eastAsia="宋体" w:cs="Times New Roman"/>
      <w:sz w:val="21"/>
      <w:lang w:val="en-US" w:eastAsia="zh-CN" w:bidi="ar-SA"/>
    </w:rPr>
  </w:style>
  <w:style w:type="paragraph" w:customStyle="1" w:styleId="76">
    <w:name w:val="二级条标题"/>
    <w:basedOn w:val="77"/>
    <w:next w:val="78"/>
    <w:qFormat/>
    <w:uiPriority w:val="0"/>
    <w:pPr>
      <w:outlineLvl w:val="3"/>
    </w:pPr>
  </w:style>
  <w:style w:type="paragraph" w:customStyle="1" w:styleId="77">
    <w:name w:val="一级条标题"/>
    <w:next w:val="78"/>
    <w:qFormat/>
    <w:uiPriority w:val="0"/>
    <w:pPr>
      <w:outlineLvl w:val="2"/>
    </w:pPr>
    <w:rPr>
      <w:rFonts w:ascii="Times New Roman" w:hAnsi="Times New Roman" w:eastAsia="黑体" w:cs="Times New Roman"/>
      <w:sz w:val="21"/>
      <w:lang w:val="en-US" w:eastAsia="zh-CN" w:bidi="ar-SA"/>
    </w:rPr>
  </w:style>
  <w:style w:type="paragraph" w:customStyle="1" w:styleId="7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9">
    <w:name w:val="Table Heading"/>
    <w:basedOn w:val="1"/>
    <w:qFormat/>
    <w:uiPriority w:val="0"/>
    <w:pPr>
      <w:widowControl/>
      <w:jc w:val="center"/>
    </w:pPr>
    <w:rPr>
      <w:rFonts w:ascii="Arial" w:hAnsi="Arial"/>
      <w:b/>
      <w:kern w:val="0"/>
      <w:sz w:val="18"/>
    </w:rPr>
  </w:style>
  <w:style w:type="paragraph" w:customStyle="1" w:styleId="80">
    <w:name w:val="Char Char Char Char Char Char Char Char Char Char Char Char Char Char Char Char Char Char Char Char Char Char Char Char Char Char Char Char"/>
    <w:basedOn w:val="1"/>
    <w:qFormat/>
    <w:uiPriority w:val="0"/>
    <w:pPr>
      <w:tabs>
        <w:tab w:val="left" w:pos="1031"/>
      </w:tabs>
      <w:ind w:left="1031" w:hanging="851"/>
    </w:pPr>
    <w:rPr>
      <w:sz w:val="24"/>
      <w:szCs w:val="24"/>
    </w:rPr>
  </w:style>
  <w:style w:type="paragraph" w:customStyle="1" w:styleId="81">
    <w:name w:val="标准正文样式"/>
    <w:basedOn w:val="5"/>
    <w:qFormat/>
    <w:uiPriority w:val="0"/>
    <w:pPr>
      <w:spacing w:line="360" w:lineRule="auto"/>
      <w:ind w:firstLine="200" w:firstLineChars="200"/>
    </w:pPr>
    <w:rPr>
      <w:rFonts w:hAnsi="Calibri"/>
      <w:sz w:val="24"/>
      <w:szCs w:val="22"/>
    </w:rPr>
  </w:style>
  <w:style w:type="paragraph" w:customStyle="1" w:styleId="82">
    <w:name w:val="二级标题2"/>
    <w:basedOn w:val="1"/>
    <w:qFormat/>
    <w:uiPriority w:val="0"/>
    <w:pPr>
      <w:spacing w:afterLines="50" w:line="360" w:lineRule="auto"/>
      <w:outlineLvl w:val="1"/>
    </w:pPr>
    <w:rPr>
      <w:b/>
      <w:szCs w:val="24"/>
    </w:rPr>
  </w:style>
  <w:style w:type="paragraph" w:customStyle="1" w:styleId="83">
    <w:name w:val="题注5"/>
    <w:basedOn w:val="1"/>
    <w:next w:val="17"/>
    <w:qFormat/>
    <w:uiPriority w:val="0"/>
    <w:pPr>
      <w:jc w:val="center"/>
    </w:pPr>
    <w:rPr>
      <w:b/>
      <w:color w:val="000000"/>
      <w:sz w:val="24"/>
      <w:szCs w:val="21"/>
    </w:rPr>
  </w:style>
  <w:style w:type="paragraph" w:customStyle="1" w:styleId="84">
    <w:name w:val="公文正文"/>
    <w:basedOn w:val="1"/>
    <w:qFormat/>
    <w:uiPriority w:val="0"/>
    <w:pPr>
      <w:spacing w:line="560" w:lineRule="exact"/>
    </w:pPr>
    <w:rPr>
      <w:rFonts w:ascii="仿宋_GB2312" w:hAnsi="Calibri" w:eastAsia="仿宋_GB2312"/>
      <w:sz w:val="32"/>
      <w:szCs w:val="32"/>
    </w:rPr>
  </w:style>
  <w:style w:type="paragraph" w:customStyle="1" w:styleId="85">
    <w:name w:val="办公自动化专用标题"/>
    <w:basedOn w:val="51"/>
    <w:qFormat/>
    <w:uiPriority w:val="0"/>
    <w:pPr>
      <w:spacing w:line="560" w:lineRule="atLeast"/>
    </w:pPr>
    <w:rPr>
      <w:rFonts w:ascii="宋体" w:cs="Times New Roman"/>
      <w:bCs w:val="0"/>
      <w:sz w:val="44"/>
      <w:szCs w:val="20"/>
    </w:rPr>
  </w:style>
  <w:style w:type="paragraph" w:customStyle="1" w:styleId="86">
    <w:name w:val="Char Char5"/>
    <w:basedOn w:val="1"/>
    <w:qFormat/>
    <w:uiPriority w:val="0"/>
    <w:pPr>
      <w:widowControl/>
      <w:spacing w:after="160" w:line="240" w:lineRule="exact"/>
      <w:jc w:val="left"/>
    </w:pPr>
    <w:rPr>
      <w:rFonts w:ascii="Verdana" w:hAnsi="Verdana"/>
      <w:kern w:val="0"/>
      <w:sz w:val="20"/>
      <w:lang w:eastAsia="en-US"/>
    </w:rPr>
  </w:style>
  <w:style w:type="paragraph" w:customStyle="1" w:styleId="87">
    <w:name w:val="p0"/>
    <w:basedOn w:val="1"/>
    <w:qFormat/>
    <w:uiPriority w:val="0"/>
    <w:pPr>
      <w:widowControl/>
    </w:pPr>
    <w:rPr>
      <w:kern w:val="0"/>
      <w:szCs w:val="21"/>
    </w:rPr>
  </w:style>
  <w:style w:type="paragraph" w:customStyle="1" w:styleId="88">
    <w:name w:val="unnamed1"/>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89">
    <w:name w:val="_Style 88"/>
    <w:basedOn w:val="1"/>
    <w:qFormat/>
    <w:uiPriority w:val="34"/>
    <w:pPr>
      <w:ind w:firstLine="420" w:firstLineChars="200"/>
    </w:pPr>
    <w:rPr>
      <w:szCs w:val="24"/>
    </w:rPr>
  </w:style>
  <w:style w:type="paragraph" w:customStyle="1" w:styleId="90">
    <w:name w:val="样式 小四 段前: 5 磅 段后: 5 磅 首行缩进:  2 字符"/>
    <w:basedOn w:val="1"/>
    <w:qFormat/>
    <w:uiPriority w:val="0"/>
    <w:pPr>
      <w:spacing w:line="360" w:lineRule="auto"/>
    </w:pPr>
    <w:rPr>
      <w:rFonts w:ascii="宋体" w:hAnsi="宋体"/>
      <w:sz w:val="24"/>
      <w:szCs w:val="21"/>
    </w:rPr>
  </w:style>
  <w:style w:type="paragraph" w:customStyle="1" w:styleId="9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92">
    <w:name w:val="封面标准号2"/>
    <w:basedOn w:val="93"/>
    <w:qFormat/>
    <w:uiPriority w:val="0"/>
    <w:pPr>
      <w:framePr w:w="9138" w:h="1244" w:hRule="exact" w:wrap="around" w:vAnchor="page" w:hAnchor="margin" w:y="2908"/>
      <w:adjustRightInd w:val="0"/>
      <w:spacing w:before="357" w:line="280" w:lineRule="exact"/>
    </w:pPr>
  </w:style>
  <w:style w:type="paragraph" w:customStyle="1" w:styleId="9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4">
    <w:name w:val="Char"/>
    <w:basedOn w:val="1"/>
    <w:qFormat/>
    <w:uiPriority w:val="0"/>
    <w:pPr>
      <w:tabs>
        <w:tab w:val="left" w:pos="0"/>
      </w:tabs>
      <w:ind w:left="170" w:hanging="170"/>
    </w:pPr>
    <w:rPr>
      <w:sz w:val="24"/>
      <w:szCs w:val="24"/>
    </w:rPr>
  </w:style>
  <w:style w:type="paragraph" w:customStyle="1" w:styleId="95">
    <w:name w:val="CM6"/>
    <w:basedOn w:val="71"/>
    <w:next w:val="71"/>
    <w:qFormat/>
    <w:uiPriority w:val="0"/>
    <w:pPr>
      <w:spacing w:line="623" w:lineRule="atLeast"/>
    </w:pPr>
    <w:rPr>
      <w:rFonts w:ascii="黑体" w:hAnsi="Times New Roman" w:eastAsia="黑体" w:cs="Times New Roman"/>
      <w:color w:val="auto"/>
    </w:rPr>
  </w:style>
  <w:style w:type="paragraph" w:customStyle="1" w:styleId="96">
    <w:name w:val="Char Char Char Char Char Char Char Char Char Char Char Char Char Char Char"/>
    <w:basedOn w:val="1"/>
    <w:qFormat/>
    <w:uiPriority w:val="0"/>
    <w:rPr>
      <w:sz w:val="30"/>
      <w:szCs w:val="24"/>
    </w:rPr>
  </w:style>
  <w:style w:type="paragraph" w:customStyle="1" w:styleId="97">
    <w:name w:val="font7"/>
    <w:basedOn w:val="1"/>
    <w:qFormat/>
    <w:uiPriority w:val="0"/>
    <w:pPr>
      <w:widowControl/>
      <w:spacing w:before="100" w:beforeAutospacing="1" w:after="100" w:afterAutospacing="1"/>
      <w:jc w:val="left"/>
    </w:pPr>
    <w:rPr>
      <w:rFonts w:eastAsia="Arial Unicode MS"/>
      <w:kern w:val="0"/>
      <w:sz w:val="28"/>
      <w:szCs w:val="28"/>
    </w:rPr>
  </w:style>
  <w:style w:type="paragraph" w:customStyle="1" w:styleId="98">
    <w:name w:val="CM40"/>
    <w:basedOn w:val="71"/>
    <w:next w:val="71"/>
    <w:qFormat/>
    <w:uiPriority w:val="0"/>
    <w:pPr>
      <w:spacing w:line="466" w:lineRule="atLeast"/>
    </w:pPr>
    <w:rPr>
      <w:rFonts w:ascii="..ì." w:hAnsi="Times New Roman" w:eastAsia="..ì." w:cs="Times New Roman"/>
      <w:color w:val="auto"/>
    </w:rPr>
  </w:style>
  <w:style w:type="paragraph" w:customStyle="1" w:styleId="99">
    <w:name w:val="签名 - 公司"/>
    <w:basedOn w:val="35"/>
    <w:next w:val="69"/>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100">
    <w:name w:val="纯文本1"/>
    <w:basedOn w:val="1"/>
    <w:qFormat/>
    <w:uiPriority w:val="0"/>
    <w:pPr>
      <w:adjustRightInd w:val="0"/>
      <w:textAlignment w:val="baseline"/>
    </w:pPr>
    <w:rPr>
      <w:rFonts w:ascii="宋体"/>
      <w:kern w:val="0"/>
      <w:sz w:val="24"/>
    </w:rPr>
  </w:style>
  <w:style w:type="paragraph" w:customStyle="1" w:styleId="101">
    <w:name w:val="实施日期"/>
    <w:basedOn w:val="102"/>
    <w:qFormat/>
    <w:uiPriority w:val="0"/>
    <w:pPr>
      <w:framePr w:wrap="around" w:vAnchor="margin" w:hAnchor="text" w:xAlign="right" w:y="1"/>
      <w:jc w:val="right"/>
    </w:pPr>
  </w:style>
  <w:style w:type="paragraph" w:customStyle="1" w:styleId="102">
    <w:name w:val="发布日期"/>
    <w:qFormat/>
    <w:uiPriority w:val="0"/>
    <w:rPr>
      <w:rFonts w:ascii="Times New Roman" w:hAnsi="Times New Roman" w:eastAsia="黑体" w:cs="Times New Roman"/>
      <w:sz w:val="28"/>
      <w:lang w:val="en-US" w:eastAsia="zh-CN" w:bidi="ar-SA"/>
    </w:rPr>
  </w:style>
  <w:style w:type="paragraph" w:customStyle="1" w:styleId="103">
    <w:name w:val="正文缩进2字符"/>
    <w:basedOn w:val="1"/>
    <w:qFormat/>
    <w:uiPriority w:val="0"/>
    <w:pPr>
      <w:spacing w:line="360" w:lineRule="auto"/>
      <w:ind w:firstLine="200" w:firstLineChars="200"/>
    </w:pPr>
    <w:rPr>
      <w:sz w:val="24"/>
      <w:szCs w:val="24"/>
    </w:rPr>
  </w:style>
  <w:style w:type="paragraph" w:customStyle="1" w:styleId="104">
    <w:name w:val="CM12"/>
    <w:basedOn w:val="71"/>
    <w:next w:val="71"/>
    <w:qFormat/>
    <w:uiPriority w:val="0"/>
    <w:pPr>
      <w:spacing w:line="623" w:lineRule="atLeast"/>
    </w:pPr>
    <w:rPr>
      <w:rFonts w:ascii="黑体" w:hAnsi="Times New Roman" w:eastAsia="黑体" w:cs="Times New Roman"/>
      <w:color w:val="auto"/>
    </w:rPr>
  </w:style>
  <w:style w:type="paragraph" w:customStyle="1" w:styleId="105">
    <w:name w:val="不缩进"/>
    <w:basedOn w:val="1"/>
    <w:qFormat/>
    <w:uiPriority w:val="0"/>
    <w:pPr>
      <w:spacing w:line="360" w:lineRule="auto"/>
      <w:jc w:val="center"/>
    </w:pPr>
    <w:rPr>
      <w:rFonts w:ascii="宋体" w:hAnsi="宋体"/>
    </w:rPr>
  </w:style>
  <w:style w:type="paragraph" w:customStyle="1" w:styleId="106">
    <w:name w:val="_正文段落"/>
    <w:basedOn w:val="1"/>
    <w:link w:val="440"/>
    <w:qFormat/>
    <w:uiPriority w:val="0"/>
    <w:pPr>
      <w:spacing w:beforeLines="15" w:afterLines="15" w:line="360" w:lineRule="auto"/>
      <w:ind w:firstLine="200" w:firstLineChars="200"/>
    </w:pPr>
    <w:rPr>
      <w:kern w:val="0"/>
      <w:sz w:val="24"/>
      <w:szCs w:val="24"/>
    </w:rPr>
  </w:style>
  <w:style w:type="paragraph" w:customStyle="1" w:styleId="107">
    <w:name w:val="xl78"/>
    <w:basedOn w:val="1"/>
    <w:qFormat/>
    <w:uiPriority w:val="0"/>
    <w:pPr>
      <w:widowControl/>
      <w:pBdr>
        <w:top w:val="single" w:color="auto" w:sz="4" w:space="0"/>
        <w:left w:val="single" w:color="auto" w:sz="4" w:space="0"/>
        <w:bottom w:val="single" w:color="auto" w:sz="4" w:space="0"/>
        <w:right w:val="single" w:color="auto" w:sz="12" w:space="0"/>
      </w:pBdr>
      <w:spacing w:before="100" w:beforeAutospacing="1" w:after="100" w:afterAutospacing="1"/>
      <w:jc w:val="center"/>
    </w:pPr>
    <w:rPr>
      <w:rFonts w:ascii="宋体" w:hAnsi="宋体" w:cs="宋体"/>
      <w:kern w:val="0"/>
      <w:sz w:val="20"/>
    </w:rPr>
  </w:style>
  <w:style w:type="paragraph" w:customStyle="1" w:styleId="10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09">
    <w:name w:val="标准书眉一"/>
    <w:qFormat/>
    <w:uiPriority w:val="0"/>
    <w:pPr>
      <w:jc w:val="both"/>
    </w:pPr>
    <w:rPr>
      <w:rFonts w:ascii="Times New Roman" w:hAnsi="Times New Roman" w:eastAsia="宋体" w:cs="Times New Roman"/>
      <w:lang w:val="en-US" w:eastAsia="zh-CN" w:bidi="ar-SA"/>
    </w:rPr>
  </w:style>
  <w:style w:type="paragraph" w:customStyle="1" w:styleId="110">
    <w:name w:val="msolistparagraph"/>
    <w:basedOn w:val="1"/>
    <w:qFormat/>
    <w:uiPriority w:val="0"/>
    <w:pPr>
      <w:ind w:firstLine="420" w:firstLineChars="200"/>
    </w:pPr>
    <w:rPr>
      <w:szCs w:val="24"/>
    </w:rPr>
  </w:style>
  <w:style w:type="paragraph" w:customStyle="1" w:styleId="111">
    <w:name w:val="正文表标题"/>
    <w:next w:val="78"/>
    <w:qFormat/>
    <w:uiPriority w:val="0"/>
    <w:pPr>
      <w:numPr>
        <w:ilvl w:val="0"/>
        <w:numId w:val="7"/>
      </w:numPr>
      <w:jc w:val="center"/>
    </w:pPr>
    <w:rPr>
      <w:rFonts w:ascii="黑体" w:hAnsi="Times New Roman" w:eastAsia="黑体" w:cs="Times New Roman"/>
      <w:sz w:val="21"/>
      <w:lang w:val="en-US" w:eastAsia="zh-CN" w:bidi="ar-SA"/>
    </w:rPr>
  </w:style>
  <w:style w:type="paragraph" w:customStyle="1" w:styleId="112">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13">
    <w:name w:val="Char Char Char Char Char Char Char Char Char Char Char Char Char"/>
    <w:basedOn w:val="19"/>
    <w:qFormat/>
    <w:uiPriority w:val="0"/>
  </w:style>
  <w:style w:type="paragraph" w:customStyle="1" w:styleId="114">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115">
    <w:name w:val="tabletext"/>
    <w:basedOn w:val="1"/>
    <w:qFormat/>
    <w:uiPriority w:val="0"/>
    <w:pPr>
      <w:widowControl/>
      <w:spacing w:before="100" w:beforeAutospacing="1" w:after="100" w:afterAutospacing="1" w:line="268" w:lineRule="atLeast"/>
      <w:jc w:val="left"/>
    </w:pPr>
    <w:rPr>
      <w:rFonts w:ascii="Arial Unicode MS" w:hAnsi="Arial Unicode MS" w:eastAsia="Arial Unicode MS"/>
      <w:kern w:val="0"/>
      <w:sz w:val="20"/>
    </w:rPr>
  </w:style>
  <w:style w:type="paragraph" w:customStyle="1" w:styleId="116">
    <w:name w:val="last"/>
    <w:basedOn w:val="1"/>
    <w:qFormat/>
    <w:uiPriority w:val="0"/>
    <w:pPr>
      <w:widowControl/>
      <w:spacing w:before="100" w:beforeAutospacing="1"/>
      <w:jc w:val="left"/>
    </w:pPr>
    <w:rPr>
      <w:rFonts w:ascii="宋体" w:hAnsi="宋体" w:cs="宋体"/>
      <w:kern w:val="0"/>
      <w:sz w:val="24"/>
      <w:szCs w:val="24"/>
    </w:rPr>
  </w:style>
  <w:style w:type="paragraph" w:customStyle="1" w:styleId="117">
    <w:name w:val="注×："/>
    <w:qFormat/>
    <w:uiPriority w:val="0"/>
    <w:pPr>
      <w:widowControl w:val="0"/>
      <w:tabs>
        <w:tab w:val="left" w:pos="630"/>
        <w:tab w:val="left" w:pos="90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18">
    <w:name w:val="附录一级条标题"/>
    <w:basedOn w:val="119"/>
    <w:next w:val="78"/>
    <w:qFormat/>
    <w:uiPriority w:val="0"/>
    <w:pPr>
      <w:numPr>
        <w:ilvl w:val="0"/>
        <w:numId w:val="8"/>
      </w:numPr>
      <w:tabs>
        <w:tab w:val="left" w:pos="718"/>
        <w:tab w:val="left" w:pos="1138"/>
      </w:tabs>
      <w:autoSpaceDN w:val="0"/>
      <w:spacing w:before="0" w:beforeLines="0" w:after="0" w:afterLines="0"/>
      <w:outlineLvl w:val="2"/>
    </w:pPr>
  </w:style>
  <w:style w:type="paragraph" w:customStyle="1" w:styleId="119">
    <w:name w:val="附录章标题"/>
    <w:next w:val="78"/>
    <w:qFormat/>
    <w:uiPriority w:val="0"/>
    <w:pPr>
      <w:numPr>
        <w:ilvl w:val="1"/>
        <w:numId w:val="4"/>
      </w:numPr>
      <w:tabs>
        <w:tab w:val="left" w:pos="718"/>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20">
    <w:name w:val="6"/>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1">
    <w:name w:val="Char11"/>
    <w:basedOn w:val="1"/>
    <w:qFormat/>
    <w:uiPriority w:val="0"/>
    <w:pPr>
      <w:widowControl/>
      <w:spacing w:after="160" w:line="240" w:lineRule="exact"/>
      <w:jc w:val="left"/>
    </w:pPr>
    <w:rPr>
      <w:rFonts w:ascii="Verdana" w:hAnsi="Verdana"/>
      <w:kern w:val="0"/>
      <w:lang w:eastAsia="en-US"/>
    </w:rPr>
  </w:style>
  <w:style w:type="paragraph" w:customStyle="1" w:styleId="122">
    <w:name w:val="D标4"/>
    <w:basedOn w:val="1"/>
    <w:next w:val="1"/>
    <w:qFormat/>
    <w:uiPriority w:val="0"/>
    <w:pPr>
      <w:tabs>
        <w:tab w:val="left" w:pos="718"/>
      </w:tabs>
      <w:autoSpaceDE w:val="0"/>
      <w:autoSpaceDN w:val="0"/>
      <w:adjustRightInd w:val="0"/>
      <w:spacing w:before="120" w:line="480" w:lineRule="atLeast"/>
      <w:ind w:left="718" w:hanging="720"/>
    </w:pPr>
    <w:rPr>
      <w:rFonts w:ascii="宋体"/>
      <w:kern w:val="0"/>
      <w:sz w:val="24"/>
    </w:rPr>
  </w:style>
  <w:style w:type="paragraph" w:customStyle="1" w:styleId="123">
    <w:name w:val="项目符号"/>
    <w:basedOn w:val="1"/>
    <w:qFormat/>
    <w:uiPriority w:val="0"/>
    <w:pPr>
      <w:tabs>
        <w:tab w:val="left" w:pos="840"/>
      </w:tabs>
      <w:spacing w:line="360" w:lineRule="auto"/>
      <w:ind w:left="840" w:hanging="420"/>
    </w:pPr>
    <w:rPr>
      <w:bCs/>
      <w:sz w:val="24"/>
      <w:szCs w:val="24"/>
    </w:rPr>
  </w:style>
  <w:style w:type="paragraph" w:customStyle="1" w:styleId="124">
    <w:name w:val="样式标题2"/>
    <w:basedOn w:val="7"/>
    <w:link w:val="437"/>
    <w:qFormat/>
    <w:uiPriority w:val="0"/>
    <w:pPr>
      <w:keepNext/>
      <w:keepLines/>
      <w:widowControl w:val="0"/>
      <w:numPr>
        <w:ilvl w:val="2"/>
        <w:numId w:val="9"/>
      </w:numPr>
      <w:tabs>
        <w:tab w:val="left" w:pos="1260"/>
        <w:tab w:val="clear" w:pos="709"/>
        <w:tab w:val="clear" w:pos="1560"/>
        <w:tab w:val="clear" w:pos="3240"/>
      </w:tabs>
      <w:spacing w:before="280" w:after="0" w:afterLines="0" w:line="376" w:lineRule="auto"/>
      <w:ind w:left="1260" w:hanging="840"/>
    </w:pPr>
    <w:rPr>
      <w:rFonts w:ascii="Times New Roman" w:hAnsi="Times New Roman"/>
      <w:b/>
      <w:bCs/>
      <w:kern w:val="2"/>
      <w:sz w:val="24"/>
      <w:szCs w:val="24"/>
    </w:rPr>
  </w:style>
  <w:style w:type="paragraph" w:customStyle="1" w:styleId="125">
    <w:name w:val="默认段落字体 Para Char"/>
    <w:basedOn w:val="1"/>
    <w:qFormat/>
    <w:uiPriority w:val="0"/>
    <w:rPr>
      <w:rFonts w:ascii="Tahoma" w:hAnsi="Tahoma"/>
      <w:sz w:val="24"/>
    </w:rPr>
  </w:style>
  <w:style w:type="paragraph" w:customStyle="1" w:styleId="126">
    <w:name w:val="Char Char2 Char"/>
    <w:basedOn w:val="1"/>
    <w:qFormat/>
    <w:uiPriority w:val="0"/>
    <w:rPr>
      <w:rFonts w:ascii="宋体" w:hAnsi="宋体"/>
      <w:b/>
      <w:sz w:val="28"/>
      <w:szCs w:val="28"/>
    </w:rPr>
  </w:style>
  <w:style w:type="paragraph" w:customStyle="1" w:styleId="127">
    <w:name w:val="xl65"/>
    <w:basedOn w:val="1"/>
    <w:qFormat/>
    <w:uiPriority w:val="0"/>
    <w:pPr>
      <w:widowControl/>
      <w:pBdr>
        <w:top w:val="single" w:color="auto" w:sz="12" w:space="0"/>
        <w:left w:val="single" w:color="auto" w:sz="12"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28">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129">
    <w:name w:val="Char1"/>
    <w:basedOn w:val="1"/>
    <w:qFormat/>
    <w:uiPriority w:val="0"/>
    <w:rPr>
      <w:rFonts w:ascii="Tahoma" w:hAnsi="Tahoma"/>
      <w:sz w:val="24"/>
    </w:rPr>
  </w:style>
  <w:style w:type="paragraph" w:customStyle="1" w:styleId="130">
    <w:name w:val="发布部门"/>
    <w:next w:val="7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31">
    <w:name w:val="三级条标题"/>
    <w:basedOn w:val="76"/>
    <w:next w:val="78"/>
    <w:qFormat/>
    <w:uiPriority w:val="0"/>
    <w:pPr>
      <w:numPr>
        <w:ilvl w:val="0"/>
        <w:numId w:val="10"/>
      </w:numPr>
      <w:tabs>
        <w:tab w:val="left" w:pos="2100"/>
      </w:tabs>
      <w:ind w:left="2100" w:hanging="420"/>
      <w:outlineLvl w:val="4"/>
    </w:pPr>
  </w:style>
  <w:style w:type="paragraph" w:customStyle="1" w:styleId="132">
    <w:name w:val="表格和图形名称"/>
    <w:basedOn w:val="1"/>
    <w:next w:val="1"/>
    <w:qFormat/>
    <w:uiPriority w:val="0"/>
    <w:pPr>
      <w:widowControl/>
      <w:spacing w:after="156" w:afterLines="50" w:line="360" w:lineRule="auto"/>
      <w:jc w:val="center"/>
    </w:pPr>
    <w:rPr>
      <w:kern w:val="0"/>
    </w:rPr>
  </w:style>
  <w:style w:type="paragraph" w:customStyle="1" w:styleId="133">
    <w:name w:val="xl69"/>
    <w:basedOn w:val="1"/>
    <w:qFormat/>
    <w:uiPriority w:val="0"/>
    <w:pPr>
      <w:widowControl/>
      <w:pBdr>
        <w:top w:val="single" w:color="auto" w:sz="4" w:space="0"/>
        <w:left w:val="single" w:color="auto" w:sz="12"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34">
    <w:name w:val="监理方案正文"/>
    <w:basedOn w:val="1"/>
    <w:qFormat/>
    <w:uiPriority w:val="0"/>
    <w:pPr>
      <w:spacing w:beforeLines="50" w:line="360" w:lineRule="auto"/>
      <w:ind w:firstLine="480" w:firstLineChars="200"/>
    </w:pPr>
    <w:rPr>
      <w:rFonts w:ascii="Arial" w:hAnsi="Arial" w:cs="宋体"/>
      <w:sz w:val="24"/>
      <w:szCs w:val="24"/>
    </w:rPr>
  </w:style>
  <w:style w:type="paragraph" w:customStyle="1" w:styleId="135">
    <w:name w:val="Char Char Char1 Char Char Char Char Char Char Char"/>
    <w:basedOn w:val="1"/>
    <w:qFormat/>
    <w:uiPriority w:val="0"/>
    <w:pPr>
      <w:widowControl/>
      <w:spacing w:after="160" w:line="240" w:lineRule="exact"/>
      <w:jc w:val="left"/>
    </w:pPr>
    <w:rPr>
      <w:rFonts w:ascii="Verdana" w:hAnsi="Verdana"/>
      <w:kern w:val="0"/>
      <w:lang w:eastAsia="en-US"/>
    </w:rPr>
  </w:style>
  <w:style w:type="paragraph" w:customStyle="1" w:styleId="136">
    <w:name w:val="保留正文"/>
    <w:basedOn w:val="16"/>
    <w:qFormat/>
    <w:uiPriority w:val="0"/>
    <w:pPr>
      <w:keepNext/>
      <w:spacing w:after="160" w:line="240" w:lineRule="auto"/>
    </w:pPr>
    <w:rPr>
      <w:rFonts w:ascii="Times New Roman" w:eastAsia="宋体"/>
      <w:b w:val="0"/>
      <w:sz w:val="21"/>
      <w:szCs w:val="24"/>
    </w:rPr>
  </w:style>
  <w:style w:type="paragraph" w:customStyle="1" w:styleId="137">
    <w:name w:val="CM48"/>
    <w:basedOn w:val="71"/>
    <w:next w:val="71"/>
    <w:qFormat/>
    <w:uiPriority w:val="0"/>
    <w:pPr>
      <w:spacing w:after="150"/>
    </w:pPr>
    <w:rPr>
      <w:rFonts w:ascii="黑体" w:hAnsi="Times New Roman" w:eastAsia="黑体" w:cs="Times New Roman"/>
      <w:color w:val="auto"/>
    </w:rPr>
  </w:style>
  <w:style w:type="paragraph" w:customStyle="1" w:styleId="138">
    <w:name w:val="政务正文"/>
    <w:basedOn w:val="1"/>
    <w:qFormat/>
    <w:uiPriority w:val="0"/>
    <w:pPr>
      <w:tabs>
        <w:tab w:val="left" w:pos="4746"/>
      </w:tabs>
      <w:spacing w:afterLines="50" w:line="360" w:lineRule="auto"/>
      <w:ind w:firstLine="425" w:firstLineChars="177"/>
    </w:pPr>
    <w:rPr>
      <w:rFonts w:ascii="宋体" w:hAnsi="宋体"/>
      <w:iCs/>
      <w:sz w:val="24"/>
      <w:szCs w:val="24"/>
    </w:rPr>
  </w:style>
  <w:style w:type="paragraph" w:customStyle="1" w:styleId="139">
    <w:name w:val="_Style 3"/>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14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8"/>
      <w:szCs w:val="28"/>
    </w:rPr>
  </w:style>
  <w:style w:type="paragraph" w:customStyle="1" w:styleId="141">
    <w:name w:val="Char Char1 Char Char Char Char Char Char Char Char Char Char"/>
    <w:basedOn w:val="1"/>
    <w:qFormat/>
    <w:uiPriority w:val="0"/>
    <w:rPr>
      <w:rFonts w:ascii="Tahoma" w:hAnsi="Tahoma"/>
      <w:sz w:val="24"/>
    </w:rPr>
  </w:style>
  <w:style w:type="paragraph" w:customStyle="1" w:styleId="142">
    <w:name w:val="设备"/>
    <w:basedOn w:val="6"/>
    <w:qFormat/>
    <w:uiPriority w:val="0"/>
    <w:pPr>
      <w:keepLines/>
      <w:spacing w:before="280" w:after="290" w:line="376" w:lineRule="auto"/>
      <w:jc w:val="both"/>
    </w:pPr>
    <w:rPr>
      <w:rFonts w:ascii="Arial" w:hAnsi="Arial" w:eastAsia="黑体"/>
      <w:b/>
      <w:sz w:val="24"/>
      <w:szCs w:val="24"/>
    </w:rPr>
  </w:style>
  <w:style w:type="paragraph" w:customStyle="1" w:styleId="14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44">
    <w:name w:val="P标3"/>
    <w:basedOn w:val="4"/>
    <w:qFormat/>
    <w:uiPriority w:val="0"/>
    <w:pPr>
      <w:keepNext w:val="0"/>
      <w:keepLines w:val="0"/>
      <w:tabs>
        <w:tab w:val="left" w:pos="960"/>
      </w:tabs>
      <w:autoSpaceDE w:val="0"/>
      <w:autoSpaceDN w:val="0"/>
      <w:adjustRightInd w:val="0"/>
      <w:spacing w:before="120" w:after="120" w:line="480" w:lineRule="atLeast"/>
      <w:ind w:left="960" w:hanging="420"/>
    </w:pPr>
    <w:rPr>
      <w:rFonts w:hAnsi="Times New Roman" w:eastAsia="楷体_GB2312"/>
      <w:b w:val="0"/>
      <w:kern w:val="0"/>
    </w:rPr>
  </w:style>
  <w:style w:type="paragraph" w:customStyle="1" w:styleId="145">
    <w:name w:val="qptext"/>
    <w:basedOn w:val="1"/>
    <w:qFormat/>
    <w:uiPriority w:val="0"/>
    <w:pPr>
      <w:spacing w:after="312" w:afterLines="100" w:line="360" w:lineRule="auto"/>
      <w:ind w:right="-716" w:rightChars="-341"/>
    </w:pPr>
    <w:rPr>
      <w:rFonts w:ascii="宋体"/>
      <w:sz w:val="28"/>
      <w:szCs w:val="28"/>
    </w:rPr>
  </w:style>
  <w:style w:type="paragraph" w:customStyle="1" w:styleId="146">
    <w:name w:val="xl81"/>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0"/>
    </w:rPr>
  </w:style>
  <w:style w:type="paragraph" w:customStyle="1" w:styleId="147">
    <w:name w:val="题注4"/>
    <w:basedOn w:val="1"/>
    <w:next w:val="17"/>
    <w:qFormat/>
    <w:uiPriority w:val="0"/>
    <w:pPr>
      <w:ind w:left="-132" w:leftChars="-64" w:right="-105" w:rightChars="-50" w:hanging="2"/>
      <w:jc w:val="center"/>
    </w:pPr>
    <w:rPr>
      <w:b/>
      <w:color w:val="FF0000"/>
      <w:szCs w:val="21"/>
    </w:rPr>
  </w:style>
  <w:style w:type="paragraph" w:customStyle="1" w:styleId="148">
    <w:name w:val="unnamed3"/>
    <w:basedOn w:val="1"/>
    <w:qFormat/>
    <w:uiPriority w:val="0"/>
    <w:pPr>
      <w:widowControl/>
      <w:spacing w:before="100" w:beforeAutospacing="1" w:after="100" w:afterAutospacing="1"/>
      <w:jc w:val="left"/>
    </w:pPr>
    <w:rPr>
      <w:rFonts w:ascii="Arial" w:hAnsi="Arial" w:cs="Arial"/>
      <w:color w:val="000000"/>
      <w:kern w:val="0"/>
      <w:sz w:val="20"/>
    </w:rPr>
  </w:style>
  <w:style w:type="paragraph" w:customStyle="1" w:styleId="149">
    <w:name w:val="封面标准代替信息"/>
    <w:basedOn w:val="92"/>
    <w:qFormat/>
    <w:uiPriority w:val="0"/>
    <w:pPr>
      <w:spacing w:before="57"/>
    </w:pPr>
    <w:rPr>
      <w:rFonts w:ascii="宋体"/>
      <w:sz w:val="21"/>
    </w:rPr>
  </w:style>
  <w:style w:type="paragraph" w:customStyle="1" w:styleId="15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1">
    <w:name w:val="p16"/>
    <w:basedOn w:val="1"/>
    <w:qFormat/>
    <w:uiPriority w:val="0"/>
    <w:pPr>
      <w:widowControl/>
      <w:spacing w:line="560" w:lineRule="atLeast"/>
    </w:pPr>
    <w:rPr>
      <w:rFonts w:ascii="仿宋_GB2312" w:hAnsi="宋体" w:eastAsia="仿宋_GB2312" w:cs="宋体"/>
      <w:kern w:val="0"/>
      <w:sz w:val="32"/>
      <w:szCs w:val="32"/>
    </w:rPr>
  </w:style>
  <w:style w:type="paragraph" w:customStyle="1" w:styleId="152">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153">
    <w:name w:val="三级标题"/>
    <w:basedOn w:val="1"/>
    <w:next w:val="1"/>
    <w:qFormat/>
    <w:uiPriority w:val="0"/>
    <w:pPr>
      <w:spacing w:beforeLines="50" w:afterLines="50" w:line="360" w:lineRule="auto"/>
      <w:outlineLvl w:val="2"/>
    </w:pPr>
    <w:rPr>
      <w:b/>
      <w:szCs w:val="24"/>
    </w:rPr>
  </w:style>
  <w:style w:type="paragraph" w:customStyle="1" w:styleId="154">
    <w:name w:val="正文首行缩进:  2 字符"/>
    <w:basedOn w:val="1"/>
    <w:qFormat/>
    <w:uiPriority w:val="0"/>
    <w:pPr>
      <w:spacing w:line="360" w:lineRule="auto"/>
      <w:ind w:firstLine="420" w:firstLineChars="200"/>
    </w:pPr>
    <w:rPr>
      <w:rFonts w:cs="宋体"/>
    </w:rPr>
  </w:style>
  <w:style w:type="paragraph" w:customStyle="1" w:styleId="15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56">
    <w:name w:val="正文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7">
    <w:name w:val="xl4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8"/>
      <w:szCs w:val="28"/>
    </w:rPr>
  </w:style>
  <w:style w:type="paragraph" w:customStyle="1" w:styleId="158">
    <w:name w:val="xl33"/>
    <w:basedOn w:val="1"/>
    <w:qFormat/>
    <w:uiPriority w:val="0"/>
    <w:pPr>
      <w:widowControl/>
      <w:spacing w:before="100" w:beforeAutospacing="1" w:after="100" w:afterAutospacing="1"/>
      <w:jc w:val="left"/>
    </w:pPr>
    <w:rPr>
      <w:rFonts w:ascii="Arial Unicode MS" w:hAnsi="Arial Unicode MS" w:eastAsia="Arial Unicode MS" w:cs="Arial Unicode MS"/>
      <w:kern w:val="0"/>
      <w:sz w:val="28"/>
      <w:szCs w:val="28"/>
    </w:rPr>
  </w:style>
  <w:style w:type="paragraph" w:customStyle="1" w:styleId="159">
    <w:name w:val="五级条标题"/>
    <w:basedOn w:val="160"/>
    <w:next w:val="78"/>
    <w:qFormat/>
    <w:uiPriority w:val="0"/>
    <w:pPr>
      <w:numPr>
        <w:ilvl w:val="6"/>
        <w:numId w:val="11"/>
      </w:numPr>
      <w:tabs>
        <w:tab w:val="left" w:pos="360"/>
        <w:tab w:val="left" w:pos="720"/>
        <w:tab w:val="left" w:pos="760"/>
        <w:tab w:val="left" w:pos="4320"/>
      </w:tabs>
      <w:outlineLvl w:val="6"/>
    </w:pPr>
  </w:style>
  <w:style w:type="paragraph" w:customStyle="1" w:styleId="160">
    <w:name w:val="四级条标题"/>
    <w:basedOn w:val="131"/>
    <w:next w:val="78"/>
    <w:qFormat/>
    <w:uiPriority w:val="0"/>
    <w:pPr>
      <w:numPr>
        <w:ilvl w:val="5"/>
        <w:numId w:val="12"/>
      </w:numPr>
      <w:tabs>
        <w:tab w:val="left" w:pos="720"/>
        <w:tab w:val="clear" w:pos="2100"/>
      </w:tabs>
      <w:outlineLvl w:val="5"/>
    </w:pPr>
  </w:style>
  <w:style w:type="paragraph" w:customStyle="1" w:styleId="161">
    <w:name w:val="一级正文"/>
    <w:basedOn w:val="1"/>
    <w:qFormat/>
    <w:uiPriority w:val="0"/>
    <w:pPr>
      <w:spacing w:line="360" w:lineRule="auto"/>
      <w:ind w:firstLine="480" w:firstLineChars="200"/>
    </w:pPr>
    <w:rPr>
      <w:sz w:val="24"/>
      <w:szCs w:val="24"/>
    </w:rPr>
  </w:style>
  <w:style w:type="paragraph" w:customStyle="1" w:styleId="162">
    <w:name w:val="font6"/>
    <w:basedOn w:val="1"/>
    <w:qFormat/>
    <w:uiPriority w:val="0"/>
    <w:pPr>
      <w:widowControl/>
      <w:numPr>
        <w:ilvl w:val="0"/>
        <w:numId w:val="13"/>
      </w:numPr>
      <w:spacing w:before="100" w:beforeAutospacing="1" w:after="100" w:afterAutospacing="1"/>
      <w:ind w:left="0" w:firstLine="0"/>
      <w:jc w:val="left"/>
    </w:pPr>
    <w:rPr>
      <w:rFonts w:hint="eastAsia" w:ascii="宋体" w:hAnsi="宋体" w:cs="Arial Unicode MS"/>
      <w:kern w:val="0"/>
      <w:sz w:val="28"/>
      <w:szCs w:val="28"/>
    </w:rPr>
  </w:style>
  <w:style w:type="paragraph" w:customStyle="1" w:styleId="163">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164">
    <w:name w:val="Char Char Char Char Char Char1 Char"/>
    <w:basedOn w:val="1"/>
    <w:qFormat/>
    <w:uiPriority w:val="0"/>
    <w:pPr>
      <w:widowControl/>
      <w:spacing w:after="160" w:line="240" w:lineRule="exact"/>
      <w:jc w:val="left"/>
    </w:pPr>
    <w:rPr>
      <w:rFonts w:ascii="Arial" w:hAnsi="Arial" w:eastAsia="楷体_GB2312" w:cs="Verdana"/>
      <w:b/>
      <w:kern w:val="0"/>
      <w:sz w:val="24"/>
      <w:szCs w:val="24"/>
      <w:lang w:eastAsia="en-US"/>
    </w:rPr>
  </w:style>
  <w:style w:type="paragraph" w:customStyle="1" w:styleId="16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szCs w:val="24"/>
    </w:rPr>
  </w:style>
  <w:style w:type="paragraph" w:customStyle="1" w:styleId="166">
    <w:name w:val="条文脚注"/>
    <w:basedOn w:val="41"/>
    <w:qFormat/>
    <w:uiPriority w:val="0"/>
    <w:pPr>
      <w:ind w:left="780" w:leftChars="200" w:hanging="360" w:hangingChars="200"/>
      <w:jc w:val="both"/>
    </w:pPr>
    <w:rPr>
      <w:rFonts w:ascii="宋体"/>
    </w:rPr>
  </w:style>
  <w:style w:type="paragraph" w:customStyle="1" w:styleId="167">
    <w:name w:val="D文1"/>
    <w:basedOn w:val="1"/>
    <w:qFormat/>
    <w:uiPriority w:val="0"/>
    <w:pPr>
      <w:tabs>
        <w:tab w:val="left" w:pos="720"/>
      </w:tabs>
      <w:autoSpaceDE w:val="0"/>
      <w:autoSpaceDN w:val="0"/>
      <w:adjustRightInd w:val="0"/>
      <w:spacing w:after="120" w:line="480" w:lineRule="atLeast"/>
      <w:ind w:left="680" w:firstLine="510"/>
    </w:pPr>
    <w:rPr>
      <w:rFonts w:ascii="宋体"/>
      <w:kern w:val="0"/>
      <w:sz w:val="24"/>
    </w:rPr>
  </w:style>
  <w:style w:type="paragraph" w:customStyle="1" w:styleId="168">
    <w:name w:val="示例"/>
    <w:next w:val="78"/>
    <w:qFormat/>
    <w:uiPriority w:val="0"/>
    <w:pPr>
      <w:numPr>
        <w:ilvl w:val="0"/>
        <w:numId w:val="14"/>
      </w:num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69">
    <w:name w:val="Char Char Char Char Char Char Char1 Char Char"/>
    <w:basedOn w:val="1"/>
    <w:qFormat/>
    <w:uiPriority w:val="0"/>
    <w:rPr>
      <w:rFonts w:ascii="Tahoma" w:hAnsi="Tahoma"/>
      <w:sz w:val="24"/>
    </w:rPr>
  </w:style>
  <w:style w:type="paragraph" w:customStyle="1" w:styleId="170">
    <w:name w:val="p1215"/>
    <w:basedOn w:val="1"/>
    <w:qFormat/>
    <w:uiPriority w:val="0"/>
    <w:pPr>
      <w:widowControl/>
      <w:spacing w:before="100" w:beforeAutospacing="1" w:after="100" w:afterAutospacing="1"/>
      <w:jc w:val="left"/>
    </w:pPr>
    <w:rPr>
      <w:rFonts w:ascii="宋体" w:hAnsi="宋体"/>
      <w:color w:val="003399"/>
      <w:kern w:val="0"/>
      <w:sz w:val="24"/>
      <w:szCs w:val="24"/>
    </w:rPr>
  </w:style>
  <w:style w:type="paragraph" w:customStyle="1" w:styleId="171">
    <w:name w:val="排列"/>
    <w:basedOn w:val="40"/>
    <w:next w:val="40"/>
    <w:qFormat/>
    <w:uiPriority w:val="0"/>
    <w:pPr>
      <w:numPr>
        <w:ilvl w:val="0"/>
        <w:numId w:val="15"/>
      </w:numPr>
      <w:tabs>
        <w:tab w:val="clear" w:pos="360"/>
      </w:tabs>
    </w:pPr>
  </w:style>
  <w:style w:type="paragraph" w:customStyle="1" w:styleId="172">
    <w:name w:val="样式"/>
    <w:basedOn w:val="1"/>
    <w:next w:val="23"/>
    <w:qFormat/>
    <w:uiPriority w:val="0"/>
    <w:pPr>
      <w:jc w:val="center"/>
    </w:pPr>
    <w:rPr>
      <w:rFonts w:ascii="宋体" w:hAnsi="宋体"/>
      <w:color w:val="FF0000"/>
      <w:sz w:val="24"/>
      <w:szCs w:val="24"/>
    </w:rPr>
  </w:style>
  <w:style w:type="paragraph" w:customStyle="1" w:styleId="173">
    <w:name w:val="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74">
    <w:name w:val="xl80"/>
    <w:basedOn w:val="1"/>
    <w:qFormat/>
    <w:uiPriority w:val="0"/>
    <w:pPr>
      <w:widowControl/>
      <w:pBdr>
        <w:top w:val="single" w:color="auto" w:sz="4" w:space="0"/>
        <w:left w:val="single" w:color="auto" w:sz="4" w:space="0"/>
        <w:bottom w:val="single" w:color="auto" w:sz="12" w:space="0"/>
        <w:right w:val="single" w:color="auto" w:sz="4" w:space="0"/>
      </w:pBdr>
      <w:shd w:val="clear" w:color="000000" w:fill="FFFFFF"/>
      <w:spacing w:before="100" w:beforeAutospacing="1" w:after="100" w:afterAutospacing="1"/>
      <w:jc w:val="center"/>
    </w:pPr>
    <w:rPr>
      <w:rFonts w:ascii="Calibri" w:hAnsi="Calibri" w:cs="宋体"/>
      <w:kern w:val="0"/>
      <w:sz w:val="20"/>
    </w:rPr>
  </w:style>
  <w:style w:type="paragraph" w:customStyle="1" w:styleId="175">
    <w:name w:val="Table Body"/>
    <w:basedOn w:val="1"/>
    <w:qFormat/>
    <w:uiPriority w:val="0"/>
    <w:pPr>
      <w:widowControl/>
      <w:jc w:val="center"/>
    </w:pPr>
    <w:rPr>
      <w:rFonts w:ascii="Arial" w:hAnsi="Arial"/>
      <w:snapToGrid w:val="0"/>
      <w:kern w:val="0"/>
      <w:sz w:val="18"/>
    </w:rPr>
  </w:style>
  <w:style w:type="paragraph" w:customStyle="1" w:styleId="176">
    <w:name w:val="样式 Def1 首行缩进"/>
    <w:basedOn w:val="1"/>
    <w:qFormat/>
    <w:uiPriority w:val="0"/>
    <w:pPr>
      <w:spacing w:line="360" w:lineRule="auto"/>
      <w:ind w:firstLine="560"/>
    </w:pPr>
    <w:rPr>
      <w:rFonts w:eastAsia="仿宋_GB2312"/>
      <w:sz w:val="24"/>
      <w:szCs w:val="24"/>
    </w:rPr>
  </w:style>
  <w:style w:type="paragraph" w:customStyle="1" w:styleId="177">
    <w:name w:val="CM39"/>
    <w:basedOn w:val="71"/>
    <w:next w:val="71"/>
    <w:qFormat/>
    <w:uiPriority w:val="0"/>
    <w:pPr>
      <w:spacing w:line="700" w:lineRule="atLeast"/>
    </w:pPr>
    <w:rPr>
      <w:rFonts w:ascii="黑体" w:hAnsi="Times New Roman" w:eastAsia="黑体" w:cs="Times New Roman"/>
      <w:color w:val="auto"/>
    </w:rPr>
  </w:style>
  <w:style w:type="paragraph" w:customStyle="1" w:styleId="178">
    <w:name w:val="连续正文文字"/>
    <w:basedOn w:val="16"/>
    <w:next w:val="16"/>
    <w:qFormat/>
    <w:uiPriority w:val="0"/>
    <w:pPr>
      <w:keepNext/>
      <w:widowControl/>
      <w:spacing w:after="240" w:line="240" w:lineRule="auto"/>
    </w:pPr>
    <w:rPr>
      <w:rFonts w:ascii="Garamond" w:hAnsi="Garamond" w:eastAsia="Times New Roman"/>
      <w:b w:val="0"/>
      <w:spacing w:val="-5"/>
      <w:kern w:val="0"/>
      <w:sz w:val="24"/>
    </w:rPr>
  </w:style>
  <w:style w:type="paragraph" w:customStyle="1" w:styleId="17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8"/>
      <w:szCs w:val="28"/>
    </w:rPr>
  </w:style>
  <w:style w:type="paragraph" w:customStyle="1" w:styleId="180">
    <w:name w:val="列表（编号一级）（绿盟科技）"/>
    <w:basedOn w:val="1"/>
    <w:qFormat/>
    <w:uiPriority w:val="0"/>
    <w:pPr>
      <w:widowControl/>
      <w:spacing w:beforeLines="25" w:line="300" w:lineRule="auto"/>
      <w:ind w:left="420" w:hanging="420"/>
      <w:jc w:val="left"/>
    </w:pPr>
    <w:rPr>
      <w:rFonts w:ascii="Arial" w:hAnsi="Arial"/>
      <w:kern w:val="0"/>
      <w:szCs w:val="21"/>
    </w:rPr>
  </w:style>
  <w:style w:type="paragraph" w:customStyle="1" w:styleId="181">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182">
    <w:name w:val="CM29"/>
    <w:basedOn w:val="71"/>
    <w:next w:val="71"/>
    <w:qFormat/>
    <w:uiPriority w:val="0"/>
    <w:pPr>
      <w:spacing w:line="780" w:lineRule="atLeast"/>
    </w:pPr>
    <w:rPr>
      <w:rFonts w:ascii="黑体" w:hAnsi="Times New Roman" w:eastAsia="黑体" w:cs="Times New Roman"/>
      <w:color w:val="auto"/>
    </w:rPr>
  </w:style>
  <w:style w:type="paragraph" w:customStyle="1" w:styleId="18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84">
    <w:name w:val="xl66"/>
    <w:basedOn w:val="1"/>
    <w:qFormat/>
    <w:uiPriority w:val="0"/>
    <w:pPr>
      <w:widowControl/>
      <w:pBdr>
        <w:top w:val="single" w:color="auto" w:sz="12"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8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 w:val="28"/>
      <w:szCs w:val="28"/>
    </w:rPr>
  </w:style>
  <w:style w:type="paragraph" w:customStyle="1" w:styleId="186">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7">
    <w:name w:val="Char Char Char Char Char Char"/>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188">
    <w:name w:val="样式4"/>
    <w:basedOn w:val="1"/>
    <w:qFormat/>
    <w:uiPriority w:val="0"/>
    <w:pPr>
      <w:tabs>
        <w:tab w:val="left" w:pos="2328"/>
      </w:tabs>
      <w:ind w:left="2328" w:hanging="708"/>
    </w:pPr>
    <w:rPr>
      <w:szCs w:val="24"/>
    </w:rPr>
  </w:style>
  <w:style w:type="paragraph" w:customStyle="1" w:styleId="189">
    <w:name w:val="_Style 188"/>
    <w:semiHidden/>
    <w:qFormat/>
    <w:uiPriority w:val="99"/>
    <w:rPr>
      <w:rFonts w:ascii="Times New Roman" w:hAnsi="Times New Roman" w:eastAsia="宋体" w:cs="Times New Roman"/>
      <w:kern w:val="2"/>
      <w:sz w:val="21"/>
      <w:lang w:val="en-US" w:eastAsia="zh-CN" w:bidi="ar-SA"/>
    </w:rPr>
  </w:style>
  <w:style w:type="paragraph" w:customStyle="1" w:styleId="190">
    <w:name w:val="内正文"/>
    <w:basedOn w:val="1"/>
    <w:qFormat/>
    <w:uiPriority w:val="0"/>
    <w:pPr>
      <w:ind w:firstLine="420"/>
    </w:pPr>
    <w:rPr>
      <w:rFonts w:eastAsia="文鼎CS书宋二"/>
    </w:rPr>
  </w:style>
  <w:style w:type="paragraph" w:customStyle="1" w:styleId="191">
    <w:name w:val="列出段落1"/>
    <w:basedOn w:val="1"/>
    <w:qFormat/>
    <w:uiPriority w:val="0"/>
    <w:pPr>
      <w:ind w:firstLine="420" w:firstLineChars="200"/>
    </w:pPr>
  </w:style>
  <w:style w:type="paragraph" w:customStyle="1" w:styleId="192">
    <w:name w:val="附录标识"/>
    <w:basedOn w:val="68"/>
    <w:qFormat/>
    <w:uiPriority w:val="0"/>
    <w:pPr>
      <w:numPr>
        <w:ilvl w:val="0"/>
        <w:numId w:val="1"/>
      </w:numPr>
      <w:tabs>
        <w:tab w:val="left" w:pos="6405"/>
      </w:tabs>
      <w:spacing w:after="200"/>
    </w:pPr>
    <w:rPr>
      <w:sz w:val="21"/>
    </w:rPr>
  </w:style>
  <w:style w:type="paragraph" w:customStyle="1" w:styleId="193">
    <w:name w:val="三级标题 + 段前: 0.5 行 段后: 0.5 行"/>
    <w:basedOn w:val="153"/>
    <w:qFormat/>
    <w:uiPriority w:val="0"/>
    <w:pPr>
      <w:spacing w:before="156" w:after="156"/>
    </w:pPr>
    <w:rPr>
      <w:rFonts w:cs="宋体"/>
      <w:szCs w:val="20"/>
    </w:rPr>
  </w:style>
  <w:style w:type="paragraph" w:customStyle="1" w:styleId="194">
    <w:name w:val="hwyang"/>
    <w:basedOn w:val="1"/>
    <w:link w:val="371"/>
    <w:qFormat/>
    <w:uiPriority w:val="0"/>
    <w:pPr>
      <w:spacing w:line="360" w:lineRule="auto"/>
      <w:ind w:firstLine="560" w:firstLineChars="200"/>
    </w:pPr>
    <w:rPr>
      <w:rFonts w:ascii="仿宋_GB2312" w:eastAsia="仿宋_GB2312"/>
      <w:kern w:val="0"/>
      <w:sz w:val="28"/>
      <w:szCs w:val="28"/>
    </w:rPr>
  </w:style>
  <w:style w:type="paragraph" w:customStyle="1" w:styleId="195">
    <w:name w:val="附录四级条标题"/>
    <w:basedOn w:val="196"/>
    <w:next w:val="78"/>
    <w:qFormat/>
    <w:uiPriority w:val="0"/>
    <w:pPr>
      <w:numPr>
        <w:numId w:val="16"/>
      </w:numPr>
      <w:tabs>
        <w:tab w:val="left" w:pos="360"/>
        <w:tab w:val="left" w:pos="718"/>
        <w:tab w:val="left" w:pos="1138"/>
        <w:tab w:val="left" w:pos="1560"/>
      </w:tabs>
      <w:outlineLvl w:val="5"/>
    </w:pPr>
  </w:style>
  <w:style w:type="paragraph" w:customStyle="1" w:styleId="196">
    <w:name w:val="附录三级条标题"/>
    <w:basedOn w:val="197"/>
    <w:next w:val="78"/>
    <w:qFormat/>
    <w:uiPriority w:val="0"/>
    <w:pPr>
      <w:tabs>
        <w:tab w:val="left" w:pos="718"/>
        <w:tab w:val="left" w:pos="1138"/>
        <w:tab w:val="left" w:pos="1560"/>
      </w:tabs>
      <w:outlineLvl w:val="4"/>
    </w:pPr>
  </w:style>
  <w:style w:type="paragraph" w:customStyle="1" w:styleId="197">
    <w:name w:val="附录二级条标题"/>
    <w:basedOn w:val="118"/>
    <w:next w:val="78"/>
    <w:qFormat/>
    <w:uiPriority w:val="0"/>
    <w:pPr>
      <w:outlineLvl w:val="3"/>
    </w:pPr>
  </w:style>
  <w:style w:type="paragraph" w:customStyle="1" w:styleId="198">
    <w:name w:val="五级标题"/>
    <w:basedOn w:val="1"/>
    <w:next w:val="1"/>
    <w:qFormat/>
    <w:uiPriority w:val="0"/>
    <w:pPr>
      <w:spacing w:beforeLines="50" w:afterLines="50" w:line="360" w:lineRule="auto"/>
      <w:outlineLvl w:val="4"/>
    </w:pPr>
    <w:rPr>
      <w:szCs w:val="24"/>
    </w:rPr>
  </w:style>
  <w:style w:type="paragraph" w:customStyle="1" w:styleId="199">
    <w:name w:val="样式5"/>
    <w:basedOn w:val="188"/>
    <w:next w:val="188"/>
    <w:qFormat/>
    <w:uiPriority w:val="0"/>
    <w:pPr>
      <w:tabs>
        <w:tab w:val="right" w:leader="dot" w:pos="8296"/>
        <w:tab w:val="right" w:leader="dot" w:pos="9344"/>
        <w:tab w:val="right" w:leader="dot" w:pos="9458"/>
        <w:tab w:val="clear" w:pos="2328"/>
      </w:tabs>
      <w:spacing w:before="120" w:after="120"/>
      <w:ind w:left="0" w:firstLine="0"/>
      <w:jc w:val="center"/>
    </w:pPr>
    <w:rPr>
      <w:bCs/>
      <w:caps/>
    </w:rPr>
  </w:style>
  <w:style w:type="paragraph" w:customStyle="1" w:styleId="200">
    <w:name w:val="Char Char Char Char Char Char Char Char Char Char1"/>
    <w:basedOn w:val="1"/>
    <w:qFormat/>
    <w:uiPriority w:val="0"/>
    <w:rPr>
      <w:rFonts w:ascii="Tahoma" w:hAnsi="Tahoma"/>
      <w:sz w:val="24"/>
    </w:rPr>
  </w:style>
  <w:style w:type="paragraph" w:customStyle="1" w:styleId="201">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02">
    <w:name w:val="样式 样式 题注 + 居中1 + 段前: 0.5 行 段后: 0.5 行"/>
    <w:basedOn w:val="1"/>
    <w:qFormat/>
    <w:uiPriority w:val="0"/>
    <w:pPr>
      <w:keepNext/>
      <w:spacing w:beforeLines="50" w:afterLines="50"/>
      <w:jc w:val="center"/>
    </w:pPr>
    <w:rPr>
      <w:rFonts w:ascii="Arial" w:hAnsi="Arial" w:eastAsia="楷体_GB2312" w:cs="宋体"/>
      <w:szCs w:val="21"/>
    </w:rPr>
  </w:style>
  <w:style w:type="paragraph" w:customStyle="1" w:styleId="203">
    <w:name w:val="CM45"/>
    <w:basedOn w:val="71"/>
    <w:next w:val="71"/>
    <w:qFormat/>
    <w:uiPriority w:val="0"/>
    <w:pPr>
      <w:spacing w:after="493"/>
    </w:pPr>
    <w:rPr>
      <w:rFonts w:ascii="黑体" w:hAnsi="Times New Roman" w:eastAsia="黑体" w:cs="Times New Roman"/>
      <w:color w:val="auto"/>
    </w:rPr>
  </w:style>
  <w:style w:type="paragraph" w:customStyle="1" w:styleId="204">
    <w:name w:val="附录图标题"/>
    <w:next w:val="78"/>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205">
    <w:name w:val="表格文字"/>
    <w:basedOn w:val="1"/>
    <w:qFormat/>
    <w:uiPriority w:val="0"/>
    <w:pPr>
      <w:spacing w:before="25" w:after="25" w:line="300" w:lineRule="auto"/>
      <w:jc w:val="left"/>
    </w:pPr>
    <w:rPr>
      <w:bCs/>
      <w:spacing w:val="10"/>
      <w:kern w:val="0"/>
      <w:sz w:val="24"/>
    </w:rPr>
  </w:style>
  <w:style w:type="paragraph" w:customStyle="1" w:styleId="206">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7">
    <w:name w:val="其他发布部门"/>
    <w:basedOn w:val="130"/>
    <w:qFormat/>
    <w:uiPriority w:val="0"/>
    <w:pPr>
      <w:numPr>
        <w:ilvl w:val="0"/>
        <w:numId w:val="18"/>
      </w:numPr>
      <w:spacing w:line="0" w:lineRule="atLeast"/>
      <w:ind w:left="0" w:firstLine="0"/>
    </w:pPr>
    <w:rPr>
      <w:rFonts w:ascii="黑体" w:eastAsia="黑体"/>
      <w:b w:val="0"/>
    </w:rPr>
  </w:style>
  <w:style w:type="paragraph" w:customStyle="1" w:styleId="208">
    <w:name w:val="附录表标题"/>
    <w:next w:val="78"/>
    <w:qFormat/>
    <w:uiPriority w:val="0"/>
    <w:pPr>
      <w:numPr>
        <w:ilvl w:val="0"/>
        <w:numId w:val="19"/>
      </w:numPr>
      <w:jc w:val="center"/>
      <w:textAlignment w:val="baseline"/>
    </w:pPr>
    <w:rPr>
      <w:rFonts w:ascii="黑体" w:hAnsi="Times New Roman" w:eastAsia="黑体" w:cs="Times New Roman"/>
      <w:kern w:val="21"/>
      <w:sz w:val="21"/>
      <w:lang w:val="en-US" w:eastAsia="zh-CN" w:bidi="ar-SA"/>
    </w:rPr>
  </w:style>
  <w:style w:type="paragraph" w:customStyle="1" w:styleId="209">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10">
    <w:name w:val="Char Char Char Char Char"/>
    <w:basedOn w:val="1"/>
    <w:qFormat/>
    <w:uiPriority w:val="0"/>
    <w:pPr>
      <w:widowControl/>
      <w:spacing w:after="160" w:line="240" w:lineRule="exact"/>
      <w:jc w:val="left"/>
    </w:pPr>
    <w:rPr>
      <w:rFonts w:ascii="Verdana" w:hAnsi="Verdana"/>
      <w:kern w:val="0"/>
      <w:lang w:eastAsia="en-US"/>
    </w:rPr>
  </w:style>
  <w:style w:type="paragraph" w:customStyle="1" w:styleId="211">
    <w:name w:val="无缩进正文 Char"/>
    <w:link w:val="392"/>
    <w:qFormat/>
    <w:uiPriority w:val="0"/>
    <w:pPr>
      <w:spacing w:line="360" w:lineRule="auto"/>
      <w:ind w:firstLine="200" w:firstLineChars="200"/>
    </w:pPr>
    <w:rPr>
      <w:rFonts w:ascii="宋体" w:hAnsi="宋体" w:eastAsia="Times New Roman" w:cs="Times New Roman"/>
      <w:spacing w:val="20"/>
      <w:sz w:val="28"/>
      <w:szCs w:val="28"/>
      <w:lang w:val="en-US" w:eastAsia="zh-CN" w:bidi="ar-SA"/>
    </w:rPr>
  </w:style>
  <w:style w:type="paragraph" w:customStyle="1" w:styleId="212">
    <w:name w:val="xl29"/>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213">
    <w:name w:val="Char Char Char Char1"/>
    <w:basedOn w:val="1"/>
    <w:qFormat/>
    <w:uiPriority w:val="0"/>
    <w:pPr>
      <w:widowControl/>
      <w:spacing w:after="160" w:line="240" w:lineRule="exact"/>
      <w:jc w:val="left"/>
    </w:pPr>
    <w:rPr>
      <w:rFonts w:ascii="Verdana" w:hAnsi="Verdana" w:eastAsia="楷体_GB2312" w:cs="Verdana"/>
      <w:b/>
      <w:bCs/>
      <w:i/>
      <w:iCs/>
      <w:color w:val="000000"/>
      <w:kern w:val="0"/>
      <w:sz w:val="20"/>
      <w:lang w:eastAsia="en-US"/>
    </w:rPr>
  </w:style>
  <w:style w:type="paragraph" w:customStyle="1" w:styleId="214">
    <w:name w:val="Char Char1 Char Char Char Char"/>
    <w:basedOn w:val="1"/>
    <w:qFormat/>
    <w:uiPriority w:val="0"/>
    <w:pPr>
      <w:widowControl/>
      <w:spacing w:after="160" w:line="240" w:lineRule="exact"/>
      <w:jc w:val="left"/>
    </w:pPr>
    <w:rPr>
      <w:rFonts w:ascii="Arial" w:hAnsi="Arial" w:eastAsia="Times New Roman"/>
      <w:kern w:val="0"/>
      <w:sz w:val="20"/>
      <w:lang w:eastAsia="en-US"/>
    </w:rPr>
  </w:style>
  <w:style w:type="paragraph" w:customStyle="1" w:styleId="21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216">
    <w:name w:val="样式 标题 4PIM 4H4h4blbbsect 1.2.3.4Ref Heading 1rh1sect 1....1"/>
    <w:basedOn w:val="6"/>
    <w:next w:val="33"/>
    <w:qFormat/>
    <w:uiPriority w:val="0"/>
    <w:pPr>
      <w:keepLines/>
      <w:spacing w:before="280" w:after="290" w:line="376" w:lineRule="auto"/>
      <w:jc w:val="both"/>
    </w:pPr>
    <w:rPr>
      <w:rFonts w:ascii="Arial" w:hAnsi="Arial" w:eastAsia="黑体"/>
      <w:b/>
      <w:bCs/>
      <w:color w:val="000000"/>
      <w:sz w:val="28"/>
      <w:szCs w:val="28"/>
    </w:rPr>
  </w:style>
  <w:style w:type="paragraph" w:customStyle="1" w:styleId="217">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18">
    <w:name w:val="样式 题注 + 段前: 0.5 行 段后: 0.5 行"/>
    <w:basedOn w:val="17"/>
    <w:qFormat/>
    <w:uiPriority w:val="0"/>
    <w:pPr>
      <w:keepNext/>
      <w:spacing w:beforeLines="50" w:afterLines="50"/>
      <w:jc w:val="center"/>
    </w:pPr>
    <w:rPr>
      <w:rFonts w:eastAsia="楷体_GB2312" w:cs="宋体"/>
      <w:sz w:val="21"/>
      <w:szCs w:val="21"/>
    </w:rPr>
  </w:style>
  <w:style w:type="paragraph" w:customStyle="1" w:styleId="219">
    <w:name w:val="xl3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eastAsia="Arial Unicode MS"/>
      <w:kern w:val="0"/>
      <w:sz w:val="20"/>
    </w:rPr>
  </w:style>
  <w:style w:type="paragraph" w:customStyle="1" w:styleId="22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21">
    <w:name w:val="列项——（一级）"/>
    <w:qFormat/>
    <w:uiPriority w:val="0"/>
    <w:pPr>
      <w:widowControl w:val="0"/>
      <w:numPr>
        <w:ilvl w:val="0"/>
        <w:numId w:val="20"/>
      </w:numPr>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22">
    <w:name w:val="Char Char Char1"/>
    <w:basedOn w:val="1"/>
    <w:qFormat/>
    <w:uiPriority w:val="0"/>
    <w:rPr>
      <w:rFonts w:ascii="Tahoma" w:hAnsi="Tahoma"/>
      <w:sz w:val="24"/>
    </w:rPr>
  </w:style>
  <w:style w:type="paragraph" w:customStyle="1" w:styleId="22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224">
    <w:name w:val="样式 样式 小四 行距: 2 倍行距 + 首行缩进:  2 字符 段前: 0.5 行 段后: 0.5 行"/>
    <w:basedOn w:val="1"/>
    <w:qFormat/>
    <w:uiPriority w:val="0"/>
    <w:pPr>
      <w:spacing w:beforeLines="50" w:afterLines="50" w:line="360" w:lineRule="auto"/>
      <w:ind w:firstLine="200" w:firstLineChars="200"/>
    </w:pPr>
    <w:rPr>
      <w:sz w:val="24"/>
    </w:rPr>
  </w:style>
  <w:style w:type="paragraph" w:customStyle="1" w:styleId="225">
    <w:name w:val="页脚2"/>
    <w:basedOn w:val="1"/>
    <w:link w:val="444"/>
    <w:qFormat/>
    <w:uiPriority w:val="0"/>
    <w:pPr>
      <w:widowControl/>
      <w:pBdr>
        <w:top w:val="single" w:color="auto" w:sz="6" w:space="0"/>
      </w:pBdr>
      <w:jc w:val="right"/>
      <w:textAlignment w:val="center"/>
    </w:pPr>
    <w:rPr>
      <w:rFonts w:ascii="宋体" w:hAnsi="宋体"/>
      <w:kern w:val="0"/>
      <w:sz w:val="18"/>
      <w:szCs w:val="18"/>
    </w:rPr>
  </w:style>
  <w:style w:type="paragraph" w:customStyle="1" w:styleId="226">
    <w:name w:val="注："/>
    <w:next w:val="78"/>
    <w:qFormat/>
    <w:uiPriority w:val="0"/>
    <w:pPr>
      <w:widowControl w:val="0"/>
      <w:numPr>
        <w:ilvl w:val="0"/>
        <w:numId w:val="21"/>
      </w:numPr>
      <w:autoSpaceDE w:val="0"/>
      <w:autoSpaceDN w:val="0"/>
      <w:jc w:val="both"/>
    </w:pPr>
    <w:rPr>
      <w:rFonts w:ascii="宋体" w:hAnsi="Times New Roman" w:eastAsia="宋体" w:cs="Times New Roman"/>
      <w:sz w:val="18"/>
      <w:lang w:val="en-US" w:eastAsia="zh-CN" w:bidi="ar-SA"/>
    </w:rPr>
  </w:style>
  <w:style w:type="paragraph" w:customStyle="1" w:styleId="227">
    <w:name w:val="Char Char1 Char Char Char Char Char Char Char Char Char Char Char Char Char Char"/>
    <w:basedOn w:val="1"/>
    <w:qFormat/>
    <w:uiPriority w:val="0"/>
    <w:pPr>
      <w:widowControl/>
      <w:spacing w:after="160" w:line="240" w:lineRule="exact"/>
      <w:jc w:val="left"/>
    </w:pPr>
    <w:rPr>
      <w:rFonts w:ascii="(使用中文字体)" w:hAnsi="(使用中文字体)" w:cs="Garamond"/>
      <w:kern w:val="0"/>
      <w:sz w:val="20"/>
      <w:lang w:eastAsia="en-US"/>
    </w:rPr>
  </w:style>
  <w:style w:type="paragraph" w:customStyle="1" w:styleId="228">
    <w:name w:val="xl72"/>
    <w:basedOn w:val="1"/>
    <w:qFormat/>
    <w:uiPriority w:val="0"/>
    <w:pPr>
      <w:widowControl/>
      <w:pBdr>
        <w:top w:val="single" w:color="auto" w:sz="4" w:space="0"/>
        <w:left w:val="single" w:color="auto" w:sz="12" w:space="0"/>
        <w:bottom w:val="single" w:color="auto" w:sz="12"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29">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0">
    <w:name w:val="修订1"/>
    <w:semiHidden/>
    <w:qFormat/>
    <w:uiPriority w:val="99"/>
    <w:rPr>
      <w:rFonts w:ascii="Times New Roman" w:hAnsi="Times New Roman" w:eastAsia="宋体" w:cs="Times New Roman"/>
      <w:kern w:val="2"/>
      <w:sz w:val="21"/>
      <w:lang w:val="en-US" w:eastAsia="zh-CN" w:bidi="ar-SA"/>
    </w:rPr>
  </w:style>
  <w:style w:type="paragraph" w:customStyle="1" w:styleId="231">
    <w:name w:val="正文1"/>
    <w:basedOn w:val="1"/>
    <w:qFormat/>
    <w:uiPriority w:val="0"/>
    <w:pPr>
      <w:adjustRightInd w:val="0"/>
      <w:spacing w:line="312" w:lineRule="atLeast"/>
    </w:pPr>
    <w:rPr>
      <w:kern w:val="0"/>
      <w:sz w:val="28"/>
    </w:rPr>
  </w:style>
  <w:style w:type="paragraph" w:customStyle="1" w:styleId="232">
    <w:name w:val="Char Char Char Char Char Char Char Char Char Char Char Char1 Char Char Char Char1"/>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233">
    <w:name w:val="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34">
    <w:name w:val="列表（编号二级）（绿盟科技）"/>
    <w:basedOn w:val="180"/>
    <w:qFormat/>
    <w:uiPriority w:val="0"/>
    <w:pPr>
      <w:tabs>
        <w:tab w:val="left" w:pos="718"/>
      </w:tabs>
      <w:spacing w:beforeLines="0"/>
      <w:ind w:left="840" w:hanging="720"/>
    </w:pPr>
  </w:style>
  <w:style w:type="paragraph" w:customStyle="1" w:styleId="235">
    <w:name w:val="4"/>
    <w:basedOn w:val="1"/>
    <w:next w:val="1"/>
    <w:qFormat/>
    <w:uiPriority w:val="0"/>
    <w:rPr>
      <w:szCs w:val="24"/>
    </w:rPr>
  </w:style>
  <w:style w:type="paragraph" w:customStyle="1" w:styleId="236">
    <w:name w:val="标准正文"/>
    <w:basedOn w:val="1"/>
    <w:qFormat/>
    <w:uiPriority w:val="0"/>
    <w:pPr>
      <w:snapToGrid w:val="0"/>
      <w:spacing w:line="360" w:lineRule="auto"/>
      <w:ind w:firstLine="482"/>
    </w:pPr>
    <w:rPr>
      <w:sz w:val="24"/>
      <w:szCs w:val="24"/>
    </w:rPr>
  </w:style>
  <w:style w:type="paragraph" w:customStyle="1" w:styleId="237">
    <w:name w:val="xl26"/>
    <w:basedOn w:val="1"/>
    <w:qFormat/>
    <w:uiPriority w:val="0"/>
    <w:pPr>
      <w:widowControl/>
      <w:numPr>
        <w:ilvl w:val="0"/>
        <w:numId w:val="22"/>
      </w:numPr>
      <w:pBdr>
        <w:top w:val="single" w:color="auto" w:sz="4" w:space="0"/>
        <w:bottom w:val="single" w:color="auto" w:sz="4" w:space="0"/>
        <w:right w:val="single" w:color="auto" w:sz="4" w:space="0"/>
      </w:pBdr>
      <w:spacing w:before="100" w:beforeAutospacing="1" w:after="100" w:afterAutospacing="1"/>
      <w:ind w:left="0" w:firstLine="0"/>
      <w:jc w:val="center"/>
    </w:pPr>
    <w:rPr>
      <w:rFonts w:ascii="Arial Unicode MS" w:hAnsi="Arial Unicode MS" w:eastAsia="Arial Unicode MS" w:cs="Arial Unicode MS"/>
      <w:kern w:val="0"/>
      <w:sz w:val="28"/>
      <w:szCs w:val="28"/>
    </w:rPr>
  </w:style>
  <w:style w:type="paragraph" w:customStyle="1" w:styleId="238">
    <w:name w:val="CM14"/>
    <w:basedOn w:val="71"/>
    <w:next w:val="71"/>
    <w:qFormat/>
    <w:uiPriority w:val="0"/>
    <w:pPr>
      <w:spacing w:line="623" w:lineRule="atLeast"/>
    </w:pPr>
    <w:rPr>
      <w:rFonts w:ascii="黑体" w:hAnsi="Times New Roman" w:eastAsia="黑体" w:cs="Times New Roman"/>
      <w:color w:val="auto"/>
    </w:rPr>
  </w:style>
  <w:style w:type="paragraph" w:customStyle="1" w:styleId="239">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240">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241">
    <w:name w:val="table"/>
    <w:basedOn w:val="1"/>
    <w:qFormat/>
    <w:uiPriority w:val="0"/>
    <w:pPr>
      <w:widowControl/>
      <w:overflowPunct w:val="0"/>
      <w:autoSpaceDE w:val="0"/>
      <w:autoSpaceDN w:val="0"/>
      <w:adjustRightInd w:val="0"/>
      <w:spacing w:before="60" w:after="60"/>
      <w:jc w:val="center"/>
      <w:textAlignment w:val="baseline"/>
    </w:pPr>
    <w:rPr>
      <w:rFonts w:ascii="仿宋体" w:eastAsia="仿宋体"/>
      <w:kern w:val="0"/>
      <w:sz w:val="24"/>
    </w:rPr>
  </w:style>
  <w:style w:type="paragraph" w:customStyle="1" w:styleId="242">
    <w:name w:val="unnamed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43">
    <w:name w:val="Char1 Char Char Char"/>
    <w:basedOn w:val="1"/>
    <w:qFormat/>
    <w:uiPriority w:val="0"/>
  </w:style>
  <w:style w:type="paragraph" w:customStyle="1" w:styleId="244">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45">
    <w:name w:val="1"/>
    <w:basedOn w:val="1"/>
    <w:next w:val="16"/>
    <w:qFormat/>
    <w:uiPriority w:val="0"/>
    <w:pPr>
      <w:spacing w:line="360" w:lineRule="auto"/>
    </w:pPr>
    <w:rPr>
      <w:sz w:val="24"/>
      <w:szCs w:val="24"/>
    </w:rPr>
  </w:style>
  <w:style w:type="paragraph" w:customStyle="1" w:styleId="246">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247">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248">
    <w:name w:val="封面标题"/>
    <w:basedOn w:val="1"/>
    <w:qFormat/>
    <w:uiPriority w:val="0"/>
    <w:pPr>
      <w:spacing w:line="360" w:lineRule="auto"/>
      <w:jc w:val="center"/>
    </w:pPr>
    <w:rPr>
      <w:b/>
      <w:sz w:val="44"/>
      <w:szCs w:val="24"/>
    </w:rPr>
  </w:style>
  <w:style w:type="paragraph" w:customStyle="1" w:styleId="249">
    <w:name w:val="正文文本缩进 21"/>
    <w:basedOn w:val="1"/>
    <w:qFormat/>
    <w:uiPriority w:val="0"/>
    <w:pPr>
      <w:adjustRightInd w:val="0"/>
      <w:spacing w:line="360" w:lineRule="atLeast"/>
      <w:ind w:firstLine="855"/>
      <w:textAlignment w:val="baseline"/>
    </w:pPr>
    <w:rPr>
      <w:rFonts w:ascii="宋体"/>
      <w:kern w:val="0"/>
      <w:sz w:val="28"/>
    </w:rPr>
  </w:style>
  <w:style w:type="paragraph" w:customStyle="1" w:styleId="250">
    <w:name w:val="标准"/>
    <w:basedOn w:val="1"/>
    <w:qFormat/>
    <w:uiPriority w:val="0"/>
    <w:pPr>
      <w:overflowPunct w:val="0"/>
      <w:autoSpaceDE w:val="0"/>
      <w:autoSpaceDN w:val="0"/>
      <w:adjustRightInd w:val="0"/>
      <w:spacing w:line="240" w:lineRule="atLeast"/>
      <w:textAlignment w:val="baseline"/>
    </w:pPr>
    <w:rPr>
      <w:rFonts w:eastAsia="楷体_GB2312"/>
      <w:kern w:val="0"/>
      <w:sz w:val="24"/>
    </w:rPr>
  </w:style>
  <w:style w:type="paragraph" w:customStyle="1" w:styleId="251">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8"/>
      <w:szCs w:val="28"/>
    </w:rPr>
  </w:style>
  <w:style w:type="paragraph" w:customStyle="1" w:styleId="252">
    <w:name w:val="普通正文"/>
    <w:basedOn w:val="1"/>
    <w:qFormat/>
    <w:uiPriority w:val="0"/>
    <w:pPr>
      <w:adjustRightInd w:val="0"/>
      <w:spacing w:after="120" w:line="300" w:lineRule="auto"/>
      <w:ind w:firstLine="426" w:firstLineChars="177"/>
      <w:textAlignment w:val="baseline"/>
    </w:pPr>
    <w:rPr>
      <w:rFonts w:ascii="宋体" w:hAnsi="宋体"/>
      <w:b/>
      <w:bCs/>
      <w:kern w:val="0"/>
      <w:sz w:val="24"/>
      <w:szCs w:val="24"/>
    </w:rPr>
  </w:style>
  <w:style w:type="paragraph" w:customStyle="1" w:styleId="253">
    <w:name w:val="Style1"/>
    <w:basedOn w:val="2"/>
    <w:qFormat/>
    <w:uiPriority w:val="0"/>
    <w:pPr>
      <w:keepNext w:val="0"/>
      <w:pBdr>
        <w:top w:val="thickThinSmallGap" w:color="808080" w:sz="24" w:space="1"/>
        <w:left w:val="thickThinSmallGap" w:color="808080" w:sz="24" w:space="4"/>
        <w:right w:val="thickThinSmallGap" w:color="808080" w:sz="24" w:space="4"/>
      </w:pBdr>
      <w:tabs>
        <w:tab w:val="left" w:pos="425"/>
      </w:tabs>
      <w:jc w:val="center"/>
      <w:outlineLvl w:val="9"/>
    </w:pPr>
    <w:rPr>
      <w:rFonts w:eastAsia="宋体"/>
      <w:b w:val="0"/>
      <w:smallCaps/>
      <w:spacing w:val="20"/>
      <w:kern w:val="24"/>
      <w:sz w:val="24"/>
    </w:rPr>
  </w:style>
  <w:style w:type="paragraph" w:customStyle="1" w:styleId="25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55">
    <w:name w:val="样式 正文文本缩进btbody text正文普通文字PI正文文字首行缩进 + 宋体 段前: 7.8 磅"/>
    <w:basedOn w:val="23"/>
    <w:qFormat/>
    <w:uiPriority w:val="0"/>
    <w:pPr>
      <w:spacing w:beforeLines="50" w:line="360" w:lineRule="auto"/>
      <w:ind w:firstLine="200" w:firstLineChars="200"/>
    </w:pPr>
    <w:rPr>
      <w:rFonts w:ascii="宋体" w:eastAsia="宋体" w:cs="宋体"/>
      <w:bCs/>
      <w:sz w:val="24"/>
      <w:szCs w:val="22"/>
    </w:rPr>
  </w:style>
  <w:style w:type="paragraph" w:customStyle="1" w:styleId="256">
    <w:name w:val="font9"/>
    <w:basedOn w:val="1"/>
    <w:qFormat/>
    <w:uiPriority w:val="0"/>
    <w:pPr>
      <w:widowControl/>
      <w:spacing w:before="100" w:beforeAutospacing="1" w:after="100" w:afterAutospacing="1"/>
      <w:jc w:val="left"/>
    </w:pPr>
    <w:rPr>
      <w:rFonts w:hint="eastAsia" w:ascii="宋体" w:hAnsi="宋体"/>
      <w:kern w:val="0"/>
      <w:sz w:val="22"/>
      <w:szCs w:val="22"/>
    </w:rPr>
  </w:style>
  <w:style w:type="paragraph" w:customStyle="1" w:styleId="257">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58">
    <w:name w:val="标题5"/>
    <w:basedOn w:val="1"/>
    <w:qFormat/>
    <w:uiPriority w:val="0"/>
    <w:pPr>
      <w:spacing w:before="120" w:after="120"/>
    </w:pPr>
    <w:rPr>
      <w:rFonts w:ascii="宋体"/>
      <w:b/>
      <w:sz w:val="28"/>
      <w:szCs w:val="24"/>
    </w:rPr>
  </w:style>
  <w:style w:type="paragraph" w:customStyle="1" w:styleId="259">
    <w:name w:val="Char21"/>
    <w:basedOn w:val="1"/>
    <w:qFormat/>
    <w:uiPriority w:val="0"/>
    <w:pPr>
      <w:widowControl/>
      <w:spacing w:after="160" w:line="240" w:lineRule="exact"/>
      <w:jc w:val="left"/>
    </w:pPr>
    <w:rPr>
      <w:rFonts w:ascii="Verdana" w:hAnsi="Verdana"/>
      <w:kern w:val="0"/>
      <w:lang w:eastAsia="en-US"/>
    </w:rPr>
  </w:style>
  <w:style w:type="paragraph" w:customStyle="1" w:styleId="260">
    <w:name w:val="样式 小四正文 + (西文) 仿宋_GB2312"/>
    <w:basedOn w:val="1"/>
    <w:qFormat/>
    <w:uiPriority w:val="0"/>
    <w:pPr>
      <w:spacing w:beforeLines="50" w:line="360" w:lineRule="auto"/>
      <w:ind w:firstLine="200" w:firstLineChars="200"/>
    </w:pPr>
    <w:rPr>
      <w:rFonts w:ascii="仿宋_GB2312" w:hAnsi="仿宋_GB2312"/>
      <w:sz w:val="24"/>
      <w:szCs w:val="18"/>
    </w:rPr>
  </w:style>
  <w:style w:type="paragraph" w:customStyle="1" w:styleId="261">
    <w:name w:val="Char1 Char Char Char Char Char Char"/>
    <w:basedOn w:val="1"/>
    <w:qFormat/>
    <w:uiPriority w:val="0"/>
    <w:pPr>
      <w:tabs>
        <w:tab w:val="left" w:pos="840"/>
      </w:tabs>
      <w:spacing w:line="360" w:lineRule="auto"/>
      <w:ind w:left="840" w:hanging="420"/>
    </w:pPr>
    <w:rPr>
      <w:sz w:val="24"/>
      <w:szCs w:val="24"/>
    </w:rPr>
  </w:style>
  <w:style w:type="paragraph" w:customStyle="1" w:styleId="262">
    <w:name w:val="Char Char1 Char Char Char Char Char Char Char Char"/>
    <w:basedOn w:val="1"/>
    <w:uiPriority w:val="0"/>
    <w:pPr>
      <w:adjustRightInd w:val="0"/>
      <w:spacing w:after="160" w:line="240" w:lineRule="exact"/>
    </w:pPr>
    <w:rPr>
      <w:rFonts w:ascii="Verdana" w:hAnsi="Verdana"/>
      <w:kern w:val="0"/>
      <w:sz w:val="20"/>
      <w:lang w:eastAsia="en-US"/>
    </w:rPr>
  </w:style>
  <w:style w:type="paragraph" w:customStyle="1" w:styleId="263">
    <w:name w:val="XGZ正文宋四"/>
    <w:basedOn w:val="1"/>
    <w:link w:val="448"/>
    <w:qFormat/>
    <w:uiPriority w:val="0"/>
    <w:pPr>
      <w:ind w:firstLine="200" w:firstLineChars="200"/>
      <w:jc w:val="left"/>
    </w:pPr>
    <w:rPr>
      <w:rFonts w:ascii="Century" w:hAnsi="Century" w:eastAsia="新宋体"/>
      <w:kern w:val="0"/>
      <w:sz w:val="28"/>
      <w:szCs w:val="24"/>
      <w:lang w:eastAsia="ja-JP"/>
    </w:rPr>
  </w:style>
  <w:style w:type="paragraph" w:customStyle="1" w:styleId="264">
    <w:name w:val="封面正文"/>
    <w:qFormat/>
    <w:uiPriority w:val="0"/>
    <w:pPr>
      <w:jc w:val="both"/>
    </w:pPr>
    <w:rPr>
      <w:rFonts w:ascii="Times New Roman" w:hAnsi="Times New Roman" w:eastAsia="宋体" w:cs="Times New Roman"/>
      <w:lang w:val="en-US" w:eastAsia="zh-CN" w:bidi="ar-SA"/>
    </w:rPr>
  </w:style>
  <w:style w:type="paragraph" w:customStyle="1" w:styleId="265">
    <w:name w:val="xl3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8"/>
      <w:szCs w:val="28"/>
    </w:rPr>
  </w:style>
  <w:style w:type="paragraph" w:customStyle="1" w:styleId="266">
    <w:name w:val="样式2"/>
    <w:basedOn w:val="26"/>
    <w:qFormat/>
    <w:uiPriority w:val="0"/>
    <w:pPr>
      <w:tabs>
        <w:tab w:val="clear" w:pos="9345"/>
        <w:tab w:val="clear" w:pos="9450"/>
      </w:tabs>
      <w:spacing w:line="240" w:lineRule="auto"/>
      <w:ind w:left="420"/>
    </w:pPr>
  </w:style>
  <w:style w:type="paragraph" w:customStyle="1" w:styleId="267">
    <w:name w:val="粉标题"/>
    <w:basedOn w:val="1"/>
    <w:qFormat/>
    <w:uiPriority w:val="0"/>
    <w:pPr>
      <w:widowControl/>
      <w:tabs>
        <w:tab w:val="left" w:pos="720"/>
      </w:tabs>
      <w:spacing w:beforeLines="50" w:line="360" w:lineRule="auto"/>
      <w:ind w:left="720" w:hanging="720"/>
      <w:jc w:val="left"/>
    </w:pPr>
    <w:rPr>
      <w:rFonts w:ascii="宋体" w:hAnsi="宋体" w:eastAsia="黑体"/>
      <w:b/>
      <w:bCs/>
      <w:color w:val="000000"/>
      <w:sz w:val="24"/>
      <w:szCs w:val="21"/>
    </w:rPr>
  </w:style>
  <w:style w:type="paragraph" w:customStyle="1" w:styleId="268">
    <w:name w:val="Char Char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269">
    <w:name w:val="默认段落字体 Para Char Char Char Char"/>
    <w:basedOn w:val="1"/>
    <w:qFormat/>
    <w:uiPriority w:val="0"/>
    <w:rPr>
      <w:szCs w:val="24"/>
    </w:rPr>
  </w:style>
  <w:style w:type="paragraph" w:customStyle="1" w:styleId="270">
    <w:name w:val="正文内容"/>
    <w:basedOn w:val="1"/>
    <w:qFormat/>
    <w:uiPriority w:val="0"/>
    <w:rPr>
      <w:rFonts w:ascii="Arial" w:hAnsi="Arial"/>
      <w:spacing w:val="-12"/>
    </w:rPr>
  </w:style>
  <w:style w:type="paragraph" w:customStyle="1" w:styleId="271">
    <w:name w:val="CM30"/>
    <w:basedOn w:val="71"/>
    <w:next w:val="71"/>
    <w:qFormat/>
    <w:uiPriority w:val="0"/>
    <w:pPr>
      <w:spacing w:line="471" w:lineRule="atLeast"/>
    </w:pPr>
    <w:rPr>
      <w:rFonts w:ascii="..ì." w:hAnsi="Times New Roman" w:eastAsia="..ì." w:cs="Times New Roman"/>
      <w:color w:val="auto"/>
    </w:rPr>
  </w:style>
  <w:style w:type="paragraph" w:customStyle="1" w:styleId="272">
    <w:name w:val="样式 标题 3监理方案第三级 + (中文) 宋体1"/>
    <w:basedOn w:val="1"/>
    <w:next w:val="255"/>
    <w:qFormat/>
    <w:uiPriority w:val="0"/>
    <w:pPr>
      <w:spacing w:line="360" w:lineRule="auto"/>
      <w:ind w:firstLine="420"/>
    </w:pPr>
    <w:rPr>
      <w:rFonts w:ascii="宋体" w:hAnsi="宋体"/>
      <w:b/>
      <w:bCs/>
      <w:sz w:val="24"/>
      <w:szCs w:val="24"/>
    </w:rPr>
  </w:style>
  <w:style w:type="paragraph" w:customStyle="1" w:styleId="273">
    <w:name w:val="正文缩进1"/>
    <w:basedOn w:val="1"/>
    <w:qFormat/>
    <w:uiPriority w:val="0"/>
    <w:pPr>
      <w:ind w:firstLine="567"/>
    </w:pPr>
    <w:rPr>
      <w:spacing w:val="20"/>
      <w:sz w:val="24"/>
    </w:rPr>
  </w:style>
  <w:style w:type="paragraph" w:customStyle="1" w:styleId="274">
    <w:name w:val="Char Char Char Char Char Char Char Char Char Char2"/>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75">
    <w:name w:val="章标题"/>
    <w:next w:val="78"/>
    <w:qFormat/>
    <w:uiPriority w:val="0"/>
    <w:p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276">
    <w:name w:val="预审2"/>
    <w:basedOn w:val="1"/>
    <w:uiPriority w:val="0"/>
    <w:pPr>
      <w:widowControl/>
      <w:adjustRightInd w:val="0"/>
      <w:snapToGrid w:val="0"/>
      <w:spacing w:before="156" w:beforeLines="50" w:after="312" w:afterLines="100" w:line="400" w:lineRule="exact"/>
      <w:ind w:left="721" w:hanging="721" w:hangingChars="200"/>
      <w:jc w:val="center"/>
    </w:pPr>
    <w:rPr>
      <w:rFonts w:ascii="宋体" w:hAnsi="宋体"/>
      <w:b/>
      <w:bCs/>
      <w:kern w:val="0"/>
      <w:sz w:val="36"/>
      <w:szCs w:val="36"/>
    </w:rPr>
  </w:style>
  <w:style w:type="paragraph" w:customStyle="1" w:styleId="277">
    <w:name w:val="Char Char1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278">
    <w:name w:val="图表脚注"/>
    <w:next w:val="78"/>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79">
    <w:name w:val="Default Paragraph Font Para Char"/>
    <w:basedOn w:val="1"/>
    <w:qFormat/>
    <w:uiPriority w:val="0"/>
    <w:pPr>
      <w:widowControl/>
      <w:spacing w:after="160" w:line="240" w:lineRule="exact"/>
      <w:jc w:val="left"/>
    </w:pPr>
    <w:rPr>
      <w:rFonts w:ascii="Verdana" w:hAnsi="Verdana"/>
      <w:kern w:val="0"/>
      <w:sz w:val="20"/>
      <w:lang w:eastAsia="en-US"/>
    </w:rPr>
  </w:style>
  <w:style w:type="paragraph" w:customStyle="1" w:styleId="280">
    <w:name w:val="标题样式2"/>
    <w:basedOn w:val="281"/>
    <w:qFormat/>
    <w:uiPriority w:val="0"/>
    <w:pPr>
      <w:numPr>
        <w:ilvl w:val="1"/>
        <w:numId w:val="9"/>
      </w:numPr>
      <w:tabs>
        <w:tab w:val="left" w:pos="1260"/>
      </w:tabs>
      <w:spacing w:line="360" w:lineRule="auto"/>
      <w:ind w:left="1260" w:hanging="360" w:firstLineChars="0"/>
    </w:pPr>
    <w:rPr>
      <w:rFonts w:ascii="Times New Roman" w:hAnsi="Times New Roman"/>
      <w:b/>
      <w:szCs w:val="20"/>
    </w:rPr>
  </w:style>
  <w:style w:type="paragraph" w:customStyle="1" w:styleId="281">
    <w:name w:val="列出段落2"/>
    <w:basedOn w:val="1"/>
    <w:link w:val="468"/>
    <w:qFormat/>
    <w:uiPriority w:val="0"/>
    <w:pPr>
      <w:ind w:firstLine="420" w:firstLineChars="200"/>
    </w:pPr>
    <w:rPr>
      <w:rFonts w:ascii="Calibri" w:hAnsi="Calibri"/>
      <w:szCs w:val="22"/>
    </w:rPr>
  </w:style>
  <w:style w:type="paragraph" w:customStyle="1" w:styleId="282">
    <w:name w:val="xl67"/>
    <w:basedOn w:val="1"/>
    <w:qFormat/>
    <w:uiPriority w:val="0"/>
    <w:pPr>
      <w:widowControl/>
      <w:pBdr>
        <w:top w:val="single" w:color="auto" w:sz="4" w:space="0"/>
        <w:left w:val="single" w:color="auto" w:sz="12"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83">
    <w:name w:val="中文标题_3"/>
    <w:basedOn w:val="1"/>
    <w:link w:val="395"/>
    <w:qFormat/>
    <w:uiPriority w:val="0"/>
    <w:pPr>
      <w:tabs>
        <w:tab w:val="left" w:pos="1350"/>
      </w:tabs>
      <w:spacing w:line="460" w:lineRule="exact"/>
      <w:ind w:firstLine="570"/>
      <w:outlineLvl w:val="2"/>
    </w:pPr>
    <w:rPr>
      <w:b/>
      <w:kern w:val="0"/>
      <w:sz w:val="24"/>
      <w:szCs w:val="24"/>
    </w:rPr>
  </w:style>
  <w:style w:type="paragraph" w:customStyle="1" w:styleId="28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285">
    <w:name w:val="样式1"/>
    <w:basedOn w:val="1"/>
    <w:qFormat/>
    <w:uiPriority w:val="0"/>
    <w:pPr>
      <w:spacing w:line="440" w:lineRule="atLeast"/>
      <w:outlineLvl w:val="0"/>
    </w:pPr>
    <w:rPr>
      <w:rFonts w:ascii="宋体" w:hAnsi="宋体"/>
      <w:sz w:val="24"/>
      <w:szCs w:val="24"/>
    </w:rPr>
  </w:style>
  <w:style w:type="paragraph" w:customStyle="1" w:styleId="286">
    <w:name w:val="A- Arial.9 Normal"/>
    <w:qFormat/>
    <w:uiPriority w:val="0"/>
    <w:pPr>
      <w:widowControl w:val="0"/>
      <w:spacing w:before="1" w:after="1" w:line="220" w:lineRule="exact"/>
      <w:ind w:left="3572"/>
    </w:pPr>
    <w:rPr>
      <w:rFonts w:ascii="Arial" w:hAnsi="Arial" w:eastAsia="宋体" w:cs="Times New Roman"/>
      <w:color w:val="000000"/>
      <w:sz w:val="18"/>
      <w:lang w:val="fr-FR" w:eastAsia="zh-CN" w:bidi="ar-SA"/>
    </w:rPr>
  </w:style>
  <w:style w:type="paragraph" w:customStyle="1" w:styleId="287">
    <w:name w:val="CM50"/>
    <w:basedOn w:val="71"/>
    <w:next w:val="71"/>
    <w:qFormat/>
    <w:uiPriority w:val="0"/>
    <w:pPr>
      <w:spacing w:after="1153"/>
    </w:pPr>
    <w:rPr>
      <w:rFonts w:ascii="黑体" w:hAnsi="Times New Roman" w:eastAsia="黑体" w:cs="Times New Roman"/>
      <w:color w:val="auto"/>
    </w:rPr>
  </w:style>
  <w:style w:type="paragraph" w:customStyle="1" w:styleId="288">
    <w:name w:val="xl84"/>
    <w:basedOn w:val="1"/>
    <w:qFormat/>
    <w:uiPriority w:val="0"/>
    <w:pPr>
      <w:widowControl/>
      <w:pBdr>
        <w:top w:val="single" w:color="auto" w:sz="4" w:space="0"/>
        <w:left w:val="single" w:color="auto" w:sz="4" w:space="0"/>
        <w:bottom w:val="single" w:color="auto" w:sz="12"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89">
    <w:name w:val="unnamed4"/>
    <w:basedOn w:val="1"/>
    <w:qFormat/>
    <w:uiPriority w:val="0"/>
    <w:pPr>
      <w:widowControl/>
      <w:spacing w:before="100" w:beforeAutospacing="1" w:after="100" w:afterAutospacing="1"/>
      <w:jc w:val="left"/>
    </w:pPr>
    <w:rPr>
      <w:rFonts w:ascii="宋体" w:hAnsi="宋体" w:cs="宋体"/>
      <w:kern w:val="0"/>
      <w:szCs w:val="21"/>
    </w:rPr>
  </w:style>
  <w:style w:type="paragraph" w:customStyle="1" w:styleId="290">
    <w:name w:val="标题样式1"/>
    <w:basedOn w:val="4"/>
    <w:link w:val="406"/>
    <w:qFormat/>
    <w:uiPriority w:val="0"/>
    <w:pPr>
      <w:numPr>
        <w:ilvl w:val="0"/>
        <w:numId w:val="23"/>
      </w:numPr>
      <w:autoSpaceDE w:val="0"/>
      <w:autoSpaceDN w:val="0"/>
      <w:adjustRightInd w:val="0"/>
      <w:spacing w:before="360" w:line="360" w:lineRule="auto"/>
      <w:textAlignment w:val="baseline"/>
    </w:pPr>
    <w:rPr>
      <w:rFonts w:hAnsi="Arial"/>
      <w:sz w:val="28"/>
    </w:rPr>
  </w:style>
  <w:style w:type="paragraph" w:customStyle="1" w:styleId="291">
    <w:name w:val="CM51"/>
    <w:basedOn w:val="71"/>
    <w:next w:val="71"/>
    <w:qFormat/>
    <w:uiPriority w:val="0"/>
    <w:pPr>
      <w:spacing w:after="58"/>
    </w:pPr>
    <w:rPr>
      <w:rFonts w:ascii="黑体" w:hAnsi="Times New Roman" w:eastAsia="黑体" w:cs="Times New Roman"/>
      <w:color w:val="auto"/>
    </w:rPr>
  </w:style>
  <w:style w:type="paragraph" w:customStyle="1" w:styleId="292">
    <w:name w:val="XGT表格L"/>
    <w:basedOn w:val="1"/>
    <w:qFormat/>
    <w:uiPriority w:val="0"/>
    <w:pPr>
      <w:jc w:val="left"/>
    </w:pPr>
    <w:rPr>
      <w:rFonts w:ascii="Century" w:hAnsi="Century" w:eastAsia="新宋体"/>
      <w:szCs w:val="24"/>
      <w:lang w:eastAsia="ja-JP"/>
    </w:rPr>
  </w:style>
  <w:style w:type="paragraph" w:customStyle="1" w:styleId="293">
    <w:name w:val="xl75"/>
    <w:basedOn w:val="1"/>
    <w:qFormat/>
    <w:uiPriority w:val="0"/>
    <w:pPr>
      <w:widowControl/>
      <w:pBdr>
        <w:top w:val="single" w:color="auto" w:sz="12" w:space="0"/>
        <w:left w:val="single" w:color="auto" w:sz="4" w:space="0"/>
        <w:bottom w:val="single" w:color="auto" w:sz="4" w:space="0"/>
        <w:right w:val="single" w:color="auto" w:sz="12" w:space="0"/>
      </w:pBdr>
      <w:spacing w:before="100" w:beforeAutospacing="1" w:after="100" w:afterAutospacing="1"/>
      <w:jc w:val="center"/>
    </w:pPr>
    <w:rPr>
      <w:rFonts w:ascii="宋体" w:hAnsi="宋体" w:cs="宋体"/>
      <w:kern w:val="0"/>
      <w:sz w:val="20"/>
    </w:rPr>
  </w:style>
  <w:style w:type="paragraph" w:customStyle="1" w:styleId="294">
    <w:name w:val="Char Char Char2"/>
    <w:basedOn w:val="1"/>
    <w:qFormat/>
    <w:uiPriority w:val="0"/>
    <w:rPr>
      <w:rFonts w:ascii="Tahoma" w:hAnsi="Tahoma"/>
      <w:sz w:val="24"/>
    </w:rPr>
  </w:style>
  <w:style w:type="paragraph" w:customStyle="1" w:styleId="295">
    <w:name w:val="xl86"/>
    <w:basedOn w:val="1"/>
    <w:qFormat/>
    <w:uiPriority w:val="0"/>
    <w:pPr>
      <w:widowControl/>
      <w:pBdr>
        <w:left w:val="single" w:color="auto" w:sz="4" w:space="0"/>
        <w:right w:val="single" w:color="auto" w:sz="12" w:space="0"/>
      </w:pBdr>
      <w:spacing w:before="100" w:beforeAutospacing="1" w:after="100" w:afterAutospacing="1"/>
      <w:jc w:val="left"/>
    </w:pPr>
    <w:rPr>
      <w:rFonts w:ascii="宋体" w:hAnsi="宋体" w:cs="宋体"/>
      <w:kern w:val="0"/>
      <w:sz w:val="20"/>
    </w:rPr>
  </w:style>
  <w:style w:type="paragraph" w:customStyle="1" w:styleId="296">
    <w:name w:val="--规划正文"/>
    <w:basedOn w:val="1"/>
    <w:qFormat/>
    <w:uiPriority w:val="0"/>
    <w:pPr>
      <w:spacing w:line="360" w:lineRule="auto"/>
      <w:ind w:firstLine="200" w:firstLineChars="200"/>
    </w:pPr>
  </w:style>
  <w:style w:type="paragraph" w:customStyle="1" w:styleId="297">
    <w:name w:val="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98">
    <w:name w:val="D正文"/>
    <w:basedOn w:val="1"/>
    <w:link w:val="413"/>
    <w:qFormat/>
    <w:uiPriority w:val="0"/>
    <w:pPr>
      <w:spacing w:before="240" w:after="120" w:line="360" w:lineRule="auto"/>
      <w:ind w:firstLine="480" w:firstLineChars="200"/>
      <w:jc w:val="left"/>
    </w:pPr>
    <w:rPr>
      <w:kern w:val="0"/>
      <w:sz w:val="24"/>
      <w:szCs w:val="24"/>
    </w:rPr>
  </w:style>
  <w:style w:type="paragraph" w:customStyle="1" w:styleId="299">
    <w:name w:val="xl85"/>
    <w:basedOn w:val="1"/>
    <w:qFormat/>
    <w:uiPriority w:val="0"/>
    <w:pPr>
      <w:widowControl/>
      <w:pBdr>
        <w:top w:val="single" w:color="auto" w:sz="4" w:space="0"/>
        <w:left w:val="single" w:color="auto" w:sz="4" w:space="0"/>
        <w:bottom w:val="single" w:color="auto" w:sz="12" w:space="0"/>
        <w:right w:val="single" w:color="auto" w:sz="4" w:space="0"/>
      </w:pBdr>
      <w:shd w:val="clear" w:color="000000" w:fill="FFFFFF"/>
      <w:spacing w:before="100" w:beforeAutospacing="1" w:after="100" w:afterAutospacing="1"/>
      <w:jc w:val="left"/>
    </w:pPr>
    <w:rPr>
      <w:rFonts w:ascii="Calibri" w:hAnsi="Calibri" w:cs="宋体"/>
      <w:kern w:val="0"/>
      <w:sz w:val="20"/>
    </w:rPr>
  </w:style>
  <w:style w:type="paragraph" w:customStyle="1" w:styleId="300">
    <w:name w:val="Char2"/>
    <w:basedOn w:val="1"/>
    <w:qFormat/>
    <w:uiPriority w:val="0"/>
    <w:pPr>
      <w:widowControl/>
      <w:spacing w:after="160" w:line="240" w:lineRule="exact"/>
      <w:jc w:val="left"/>
    </w:pPr>
    <w:rPr>
      <w:rFonts w:ascii="Verdana" w:hAnsi="Verdana"/>
      <w:kern w:val="0"/>
      <w:lang w:eastAsia="en-US"/>
    </w:rPr>
  </w:style>
  <w:style w:type="paragraph" w:customStyle="1" w:styleId="301">
    <w:name w:val="Char Char Char Char Char Char Char Char Char Char Char Char Char Char Char Char Char Char1 Char Char Char1 Char"/>
    <w:basedOn w:val="1"/>
    <w:qFormat/>
    <w:uiPriority w:val="0"/>
    <w:pPr>
      <w:tabs>
        <w:tab w:val="left" w:pos="284"/>
      </w:tabs>
      <w:ind w:left="284" w:hanging="284"/>
    </w:pPr>
    <w:rPr>
      <w:sz w:val="24"/>
      <w:szCs w:val="24"/>
    </w:rPr>
  </w:style>
  <w:style w:type="paragraph" w:customStyle="1" w:styleId="302">
    <w:name w:val="附录五级条标题"/>
    <w:basedOn w:val="195"/>
    <w:next w:val="78"/>
    <w:qFormat/>
    <w:uiPriority w:val="0"/>
    <w:pPr>
      <w:numPr>
        <w:ilvl w:val="6"/>
        <w:numId w:val="3"/>
      </w:numPr>
      <w:tabs>
        <w:tab w:val="clear" w:pos="360"/>
      </w:tabs>
      <w:outlineLvl w:val="6"/>
    </w:pPr>
  </w:style>
  <w:style w:type="paragraph" w:customStyle="1" w:styleId="303">
    <w:name w:val="正文 首行缩进:  2 字符"/>
    <w:basedOn w:val="1"/>
    <w:qFormat/>
    <w:uiPriority w:val="0"/>
    <w:pPr>
      <w:spacing w:line="360" w:lineRule="auto"/>
      <w:ind w:firstLine="480" w:firstLineChars="200"/>
    </w:pPr>
    <w:rPr>
      <w:rFonts w:cs="宋体"/>
      <w:sz w:val="24"/>
    </w:rPr>
  </w:style>
  <w:style w:type="paragraph" w:customStyle="1" w:styleId="30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30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06">
    <w:name w:val="默认段落字体 Para Char Char Char Char Char Char Char"/>
    <w:basedOn w:val="1"/>
    <w:uiPriority w:val="0"/>
    <w:rPr>
      <w:rFonts w:ascii="Tahoma" w:hAnsi="Tahoma"/>
      <w:sz w:val="24"/>
    </w:rPr>
  </w:style>
  <w:style w:type="paragraph" w:customStyle="1" w:styleId="307">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308">
    <w:name w:val="unnamed2"/>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309">
    <w:name w:val="Char1 Char Char Char1"/>
    <w:basedOn w:val="1"/>
    <w:qFormat/>
    <w:uiPriority w:val="0"/>
    <w:rPr>
      <w:sz w:val="24"/>
      <w:szCs w:val="24"/>
    </w:rPr>
  </w:style>
  <w:style w:type="paragraph" w:customStyle="1" w:styleId="310">
    <w:name w:val="样式 标题 4PIM 4H4h4blbbsect 1.2.3.4Ref Heading 1rh1sect 1...."/>
    <w:basedOn w:val="6"/>
    <w:next w:val="33"/>
    <w:qFormat/>
    <w:uiPriority w:val="0"/>
    <w:pPr>
      <w:keepLines/>
      <w:spacing w:before="280" w:after="290" w:line="376" w:lineRule="auto"/>
      <w:jc w:val="both"/>
    </w:pPr>
    <w:rPr>
      <w:rFonts w:ascii="Arial" w:hAnsi="Arial" w:eastAsia="黑体"/>
      <w:b/>
      <w:bCs/>
      <w:color w:val="000000"/>
      <w:sz w:val="28"/>
      <w:szCs w:val="28"/>
    </w:rPr>
  </w:style>
  <w:style w:type="paragraph" w:customStyle="1" w:styleId="311">
    <w:name w:val="unnamed5"/>
    <w:basedOn w:val="1"/>
    <w:qFormat/>
    <w:uiPriority w:val="0"/>
    <w:pPr>
      <w:widowControl/>
      <w:spacing w:before="100" w:beforeAutospacing="1" w:after="100" w:afterAutospacing="1"/>
      <w:jc w:val="left"/>
    </w:pPr>
    <w:rPr>
      <w:rFonts w:ascii="宋体" w:hAnsi="宋体" w:cs="宋体"/>
      <w:color w:val="0066CC"/>
      <w:kern w:val="0"/>
      <w:sz w:val="18"/>
      <w:szCs w:val="18"/>
    </w:rPr>
  </w:style>
  <w:style w:type="paragraph" w:customStyle="1" w:styleId="312">
    <w:name w:val="xl2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szCs w:val="24"/>
    </w:rPr>
  </w:style>
  <w:style w:type="paragraph" w:customStyle="1" w:styleId="313">
    <w:name w:val="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4">
    <w:name w:val="设备名称样式"/>
    <w:basedOn w:val="142"/>
    <w:qFormat/>
    <w:uiPriority w:val="0"/>
  </w:style>
  <w:style w:type="paragraph" w:customStyle="1" w:styleId="315">
    <w:name w:val="正文文本 21"/>
    <w:basedOn w:val="1"/>
    <w:qFormat/>
    <w:uiPriority w:val="0"/>
    <w:pPr>
      <w:adjustRightInd w:val="0"/>
      <w:spacing w:line="360" w:lineRule="atLeast"/>
      <w:ind w:firstLine="525"/>
    </w:pPr>
    <w:rPr>
      <w:rFonts w:hint="eastAsia" w:ascii="宋体"/>
      <w:kern w:val="0"/>
      <w:sz w:val="28"/>
    </w:rPr>
  </w:style>
  <w:style w:type="paragraph" w:customStyle="1" w:styleId="316">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317">
    <w:name w:val="正文 New"/>
    <w:qFormat/>
    <w:uiPriority w:val="0"/>
    <w:pPr>
      <w:widowControl w:val="0"/>
      <w:spacing w:after="200" w:line="276" w:lineRule="auto"/>
      <w:ind w:left="839" w:hanging="357"/>
      <w:jc w:val="both"/>
    </w:pPr>
    <w:rPr>
      <w:rFonts w:ascii="Times New Roman" w:hAnsi="Times New Roman" w:eastAsia="宋体" w:cs="Times New Roman"/>
      <w:sz w:val="22"/>
      <w:szCs w:val="22"/>
      <w:lang w:val="en-US" w:eastAsia="en-US" w:bidi="ar-SA"/>
    </w:rPr>
  </w:style>
  <w:style w:type="paragraph" w:customStyle="1" w:styleId="31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19">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36"/>
      <w:szCs w:val="36"/>
    </w:rPr>
  </w:style>
  <w:style w:type="paragraph" w:customStyle="1" w:styleId="320">
    <w:name w:val="5"/>
    <w:basedOn w:val="1"/>
    <w:next w:val="16"/>
    <w:qFormat/>
    <w:uiPriority w:val="0"/>
    <w:pPr>
      <w:spacing w:line="360" w:lineRule="auto"/>
    </w:pPr>
    <w:rPr>
      <w:sz w:val="24"/>
      <w:szCs w:val="24"/>
    </w:rPr>
  </w:style>
  <w:style w:type="paragraph" w:customStyle="1" w:styleId="321">
    <w:name w:val="样式 小四正文 + 首行缩进:  2 字符 段前: 0.5 行"/>
    <w:basedOn w:val="1"/>
    <w:qFormat/>
    <w:uiPriority w:val="0"/>
    <w:pPr>
      <w:spacing w:beforeLines="50" w:line="360" w:lineRule="auto"/>
      <w:ind w:firstLine="200" w:firstLineChars="200"/>
    </w:pPr>
    <w:rPr>
      <w:rFonts w:ascii="宋体" w:hAnsi="宋体"/>
      <w:bCs/>
      <w:sz w:val="24"/>
    </w:rPr>
  </w:style>
  <w:style w:type="paragraph" w:customStyle="1" w:styleId="322">
    <w:name w:val="列项◆（三级）"/>
    <w:qFormat/>
    <w:uiPriority w:val="0"/>
    <w:pPr>
      <w:numPr>
        <w:ilvl w:val="0"/>
        <w:numId w:val="24"/>
      </w:numPr>
      <w:ind w:left="800" w:leftChars="600" w:hanging="200" w:hangingChars="200"/>
    </w:pPr>
    <w:rPr>
      <w:rFonts w:ascii="宋体" w:hAnsi="Times New Roman" w:eastAsia="宋体" w:cs="Times New Roman"/>
      <w:sz w:val="21"/>
      <w:lang w:val="en-US" w:eastAsia="zh-CN" w:bidi="ar-SA"/>
    </w:rPr>
  </w:style>
  <w:style w:type="paragraph" w:customStyle="1" w:styleId="323">
    <w:name w:val="ZW Char"/>
    <w:basedOn w:val="1"/>
    <w:link w:val="379"/>
    <w:qFormat/>
    <w:uiPriority w:val="0"/>
    <w:pPr>
      <w:spacing w:line="360" w:lineRule="auto"/>
      <w:ind w:firstLine="200" w:firstLineChars="200"/>
    </w:pPr>
    <w:rPr>
      <w:rFonts w:ascii="宋体" w:hAnsi="宋体"/>
      <w:kern w:val="0"/>
      <w:sz w:val="24"/>
      <w:szCs w:val="24"/>
    </w:rPr>
  </w:style>
  <w:style w:type="paragraph" w:customStyle="1" w:styleId="324">
    <w:name w:val="font8"/>
    <w:basedOn w:val="1"/>
    <w:qFormat/>
    <w:uiPriority w:val="0"/>
    <w:pPr>
      <w:widowControl/>
      <w:spacing w:before="100" w:beforeAutospacing="1" w:after="100" w:afterAutospacing="1"/>
      <w:jc w:val="left"/>
    </w:pPr>
    <w:rPr>
      <w:rFonts w:eastAsia="Arial Unicode MS"/>
      <w:kern w:val="0"/>
      <w:sz w:val="28"/>
      <w:szCs w:val="28"/>
      <w:u w:val="single"/>
    </w:rPr>
  </w:style>
  <w:style w:type="paragraph" w:customStyle="1" w:styleId="325">
    <w:name w:val="xl82"/>
    <w:basedOn w:val="1"/>
    <w:qFormat/>
    <w:uiPriority w:val="0"/>
    <w:pPr>
      <w:widowControl/>
      <w:pBdr>
        <w:top w:val="single" w:color="auto" w:sz="4" w:space="0"/>
        <w:left w:val="single" w:color="auto" w:sz="4" w:space="0"/>
        <w:bottom w:val="single" w:color="auto" w:sz="12" w:space="0"/>
        <w:right w:val="single" w:color="auto" w:sz="12" w:space="0"/>
      </w:pBdr>
      <w:spacing w:before="100" w:beforeAutospacing="1" w:after="100" w:afterAutospacing="1"/>
      <w:jc w:val="center"/>
    </w:pPr>
    <w:rPr>
      <w:rFonts w:ascii="宋体" w:hAnsi="宋体" w:cs="宋体"/>
      <w:kern w:val="0"/>
      <w:sz w:val="20"/>
    </w:rPr>
  </w:style>
  <w:style w:type="paragraph" w:customStyle="1" w:styleId="326">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8"/>
      <w:szCs w:val="28"/>
    </w:rPr>
  </w:style>
  <w:style w:type="paragraph" w:customStyle="1" w:styleId="327">
    <w:name w:val="项目符号二"/>
    <w:basedOn w:val="1"/>
    <w:qFormat/>
    <w:uiPriority w:val="0"/>
    <w:pPr>
      <w:tabs>
        <w:tab w:val="left" w:pos="720"/>
        <w:tab w:val="left" w:pos="1155"/>
      </w:tabs>
      <w:adjustRightInd w:val="0"/>
      <w:snapToGrid w:val="0"/>
      <w:spacing w:line="360" w:lineRule="auto"/>
      <w:ind w:left="315" w:firstLine="523"/>
    </w:pPr>
    <w:rPr>
      <w:sz w:val="24"/>
    </w:rPr>
  </w:style>
  <w:style w:type="paragraph" w:customStyle="1" w:styleId="328">
    <w:name w:val="_Style 222"/>
    <w:basedOn w:val="1"/>
    <w:qFormat/>
    <w:uiPriority w:val="0"/>
    <w:pPr>
      <w:widowControl/>
      <w:spacing w:after="160" w:line="240" w:lineRule="exact"/>
      <w:jc w:val="left"/>
    </w:pPr>
    <w:rPr>
      <w:szCs w:val="24"/>
    </w:rPr>
  </w:style>
  <w:style w:type="paragraph" w:customStyle="1" w:styleId="329">
    <w:name w:val="CM32"/>
    <w:basedOn w:val="71"/>
    <w:next w:val="71"/>
    <w:qFormat/>
    <w:uiPriority w:val="0"/>
    <w:pPr>
      <w:spacing w:line="466" w:lineRule="atLeast"/>
    </w:pPr>
    <w:rPr>
      <w:rFonts w:ascii="..ì." w:hAnsi="Times New Roman" w:eastAsia="..ì." w:cs="Times New Roman"/>
      <w:color w:val="auto"/>
    </w:rPr>
  </w:style>
  <w:style w:type="paragraph" w:customStyle="1" w:styleId="330">
    <w:name w:val="xl74"/>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31">
    <w:name w:val="CM34"/>
    <w:basedOn w:val="71"/>
    <w:next w:val="71"/>
    <w:qFormat/>
    <w:uiPriority w:val="0"/>
    <w:pPr>
      <w:spacing w:line="413" w:lineRule="atLeast"/>
    </w:pPr>
    <w:rPr>
      <w:rFonts w:ascii="..ì." w:hAnsi="Times New Roman" w:eastAsia="..ì." w:cs="Times New Roman"/>
      <w:color w:val="auto"/>
    </w:rPr>
  </w:style>
  <w:style w:type="paragraph" w:customStyle="1" w:styleId="332">
    <w:name w:val="130"/>
    <w:basedOn w:val="1"/>
    <w:qFormat/>
    <w:uiPriority w:val="0"/>
    <w:pPr>
      <w:widowControl/>
      <w:spacing w:before="100" w:beforeAutospacing="1" w:after="100" w:afterAutospacing="1" w:line="324" w:lineRule="auto"/>
      <w:jc w:val="left"/>
    </w:pPr>
    <w:rPr>
      <w:rFonts w:ascii="宋体" w:hAnsi="宋体"/>
      <w:color w:val="000000"/>
      <w:kern w:val="0"/>
      <w:sz w:val="24"/>
      <w:szCs w:val="24"/>
    </w:rPr>
  </w:style>
  <w:style w:type="paragraph" w:customStyle="1" w:styleId="333">
    <w:name w:val="参考文献、索引标题"/>
    <w:basedOn w:val="68"/>
    <w:next w:val="1"/>
    <w:qFormat/>
    <w:uiPriority w:val="0"/>
    <w:pPr>
      <w:spacing w:after="200"/>
    </w:pPr>
    <w:rPr>
      <w:sz w:val="21"/>
    </w:rPr>
  </w:style>
  <w:style w:type="paragraph" w:customStyle="1" w:styleId="334">
    <w:name w:val="xl73"/>
    <w:basedOn w:val="1"/>
    <w:qFormat/>
    <w:uiPriority w:val="0"/>
    <w:pPr>
      <w:widowControl/>
      <w:pBdr>
        <w:top w:val="single" w:color="auto" w:sz="4" w:space="0"/>
        <w:left w:val="single" w:color="auto" w:sz="4" w:space="0"/>
        <w:bottom w:val="single" w:color="auto" w:sz="12"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335">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alibri" w:hAnsi="Calibri" w:cs="宋体"/>
      <w:kern w:val="0"/>
      <w:sz w:val="20"/>
    </w:rPr>
  </w:style>
  <w:style w:type="paragraph" w:customStyle="1" w:styleId="336">
    <w:name w:val="列项●（二级）"/>
    <w:qFormat/>
    <w:uiPriority w:val="0"/>
    <w:pPr>
      <w:numPr>
        <w:ilvl w:val="0"/>
        <w:numId w:val="25"/>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337">
    <w:name w:val="xl3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8"/>
      <w:szCs w:val="28"/>
    </w:rPr>
  </w:style>
  <w:style w:type="paragraph" w:customStyle="1" w:styleId="3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39">
    <w:name w:val="样式 首行缩进:  2 字符1"/>
    <w:basedOn w:val="1"/>
    <w:qFormat/>
    <w:uiPriority w:val="0"/>
    <w:pPr>
      <w:spacing w:line="360" w:lineRule="auto"/>
      <w:ind w:firstLine="480" w:firstLineChars="200"/>
      <w:jc w:val="left"/>
    </w:pPr>
    <w:rPr>
      <w:rFonts w:ascii="宋体" w:hAnsi="宋体" w:cs="宋体"/>
      <w:sz w:val="24"/>
    </w:rPr>
  </w:style>
  <w:style w:type="paragraph" w:customStyle="1" w:styleId="340">
    <w:name w:val="样式标题3"/>
    <w:basedOn w:val="7"/>
    <w:link w:val="460"/>
    <w:qFormat/>
    <w:uiPriority w:val="0"/>
    <w:pPr>
      <w:keepNext/>
      <w:keepLines/>
      <w:widowControl w:val="0"/>
      <w:numPr>
        <w:ilvl w:val="2"/>
        <w:numId w:val="2"/>
      </w:numPr>
      <w:tabs>
        <w:tab w:val="left" w:pos="420"/>
        <w:tab w:val="clear" w:pos="709"/>
        <w:tab w:val="clear" w:pos="1560"/>
        <w:tab w:val="clear" w:pos="3240"/>
      </w:tabs>
      <w:spacing w:before="280" w:after="0" w:afterLines="0" w:line="376" w:lineRule="auto"/>
    </w:pPr>
    <w:rPr>
      <w:rFonts w:ascii="Times New Roman" w:hAnsi="Times New Roman"/>
      <w:b/>
      <w:bCs/>
      <w:kern w:val="2"/>
      <w:sz w:val="21"/>
      <w:szCs w:val="21"/>
    </w:rPr>
  </w:style>
  <w:style w:type="paragraph" w:customStyle="1" w:styleId="34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8"/>
      <w:szCs w:val="28"/>
    </w:rPr>
  </w:style>
  <w:style w:type="paragraph" w:customStyle="1" w:styleId="342">
    <w:name w:val="Char Char Char2 Char"/>
    <w:basedOn w:val="1"/>
    <w:qFormat/>
    <w:uiPriority w:val="0"/>
    <w:pPr>
      <w:widowControl/>
      <w:spacing w:after="160" w:line="240" w:lineRule="exact"/>
      <w:jc w:val="left"/>
    </w:pPr>
    <w:rPr>
      <w:rFonts w:ascii="Verdana" w:hAnsi="Verdana"/>
      <w:kern w:val="0"/>
      <w:lang w:eastAsia="en-US"/>
    </w:rPr>
  </w:style>
  <w:style w:type="paragraph" w:customStyle="1" w:styleId="343">
    <w:name w:val="Char Char Char Char Char Char Char Char1 Char"/>
    <w:basedOn w:val="1"/>
    <w:qFormat/>
    <w:uiPriority w:val="0"/>
    <w:rPr>
      <w:rFonts w:ascii="Tahoma" w:hAnsi="Tahoma" w:cs="宋体"/>
      <w:kern w:val="0"/>
      <w:sz w:val="24"/>
    </w:rPr>
  </w:style>
  <w:style w:type="paragraph" w:customStyle="1" w:styleId="344">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alibri" w:hAnsi="Calibri" w:cs="宋体"/>
      <w:kern w:val="0"/>
      <w:sz w:val="20"/>
    </w:rPr>
  </w:style>
  <w:style w:type="paragraph" w:customStyle="1" w:styleId="345">
    <w:name w:val="样式 样式 正文首行缩进 + (符号) 宋体 + 左侧:  2 字符 首行缩进:  2 字符"/>
    <w:basedOn w:val="1"/>
    <w:qFormat/>
    <w:uiPriority w:val="0"/>
    <w:pPr>
      <w:spacing w:line="360" w:lineRule="auto"/>
      <w:ind w:firstLine="200" w:firstLineChars="200"/>
      <w:jc w:val="left"/>
    </w:pPr>
    <w:rPr>
      <w:rFonts w:hAnsi="宋体"/>
      <w:kern w:val="0"/>
      <w:lang w:eastAsia="en-US"/>
    </w:rPr>
  </w:style>
  <w:style w:type="paragraph" w:customStyle="1" w:styleId="346">
    <w:name w:val="默认段落字体 Para Char Char Char Char Char Char Char Char Char1 Char"/>
    <w:basedOn w:val="1"/>
    <w:qFormat/>
    <w:uiPriority w:val="0"/>
    <w:rPr>
      <w:rFonts w:ascii="Tahoma" w:hAnsi="Tahoma"/>
      <w:sz w:val="24"/>
    </w:rPr>
  </w:style>
  <w:style w:type="paragraph" w:customStyle="1" w:styleId="347">
    <w:name w:val="Char Char Char Char Char Char Char Char Char Char Char Char1 Char Char Char Char"/>
    <w:basedOn w:val="1"/>
    <w:qFormat/>
    <w:uiPriority w:val="0"/>
    <w:pPr>
      <w:widowControl/>
      <w:spacing w:after="160" w:line="240" w:lineRule="exact"/>
      <w:jc w:val="center"/>
    </w:pPr>
    <w:rPr>
      <w:sz w:val="24"/>
      <w:szCs w:val="24"/>
    </w:rPr>
  </w:style>
  <w:style w:type="paragraph" w:customStyle="1" w:styleId="348">
    <w:name w:val="文档正文"/>
    <w:basedOn w:val="1"/>
    <w:qFormat/>
    <w:uiPriority w:val="0"/>
    <w:pPr>
      <w:jc w:val="center"/>
    </w:pPr>
    <w:rPr>
      <w:rFonts w:ascii="Arial" w:hAnsi="Arial" w:cs="Arial"/>
      <w:bCs/>
      <w:szCs w:val="21"/>
    </w:rPr>
  </w:style>
  <w:style w:type="paragraph" w:customStyle="1" w:styleId="349">
    <w:name w:val="Char Char Char Char Char Char Char Char"/>
    <w:basedOn w:val="1"/>
    <w:qFormat/>
    <w:uiPriority w:val="0"/>
    <w:rPr>
      <w:sz w:val="24"/>
      <w:szCs w:val="24"/>
    </w:rPr>
  </w:style>
  <w:style w:type="paragraph" w:customStyle="1" w:styleId="350">
    <w:name w:val="表"/>
    <w:basedOn w:val="1"/>
    <w:qFormat/>
    <w:uiPriority w:val="0"/>
    <w:pPr>
      <w:spacing w:line="360" w:lineRule="auto"/>
    </w:pPr>
    <w:rPr>
      <w:rFonts w:ascii="宋体" w:hAnsi="宋体"/>
      <w:b/>
      <w:bCs/>
    </w:rPr>
  </w:style>
  <w:style w:type="paragraph" w:customStyle="1" w:styleId="35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52">
    <w:name w:val="样式 标题 3监理方案第三级 + (中文) 宋体"/>
    <w:basedOn w:val="272"/>
    <w:qFormat/>
    <w:uiPriority w:val="0"/>
  </w:style>
  <w:style w:type="paragraph" w:customStyle="1" w:styleId="353">
    <w:name w:val="CM5"/>
    <w:basedOn w:val="71"/>
    <w:next w:val="71"/>
    <w:qFormat/>
    <w:uiPriority w:val="0"/>
    <w:pPr>
      <w:spacing w:line="623" w:lineRule="atLeast"/>
    </w:pPr>
    <w:rPr>
      <w:rFonts w:ascii="黑体" w:hAnsi="Times New Roman" w:eastAsia="黑体" w:cs="Times New Roman"/>
      <w:color w:val="auto"/>
    </w:rPr>
  </w:style>
  <w:style w:type="paragraph" w:customStyle="1" w:styleId="354">
    <w:name w:val="项目4"/>
    <w:basedOn w:val="1"/>
    <w:qFormat/>
    <w:uiPriority w:val="0"/>
    <w:pPr>
      <w:tabs>
        <w:tab w:val="left" w:pos="6815"/>
      </w:tabs>
      <w:spacing w:line="360" w:lineRule="auto"/>
      <w:ind w:left="964" w:hanging="482"/>
    </w:pPr>
    <w:rPr>
      <w:kern w:val="15"/>
      <w:sz w:val="24"/>
    </w:rPr>
  </w:style>
  <w:style w:type="paragraph" w:customStyle="1" w:styleId="355">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56">
    <w:name w:val="正文图标题"/>
    <w:next w:val="78"/>
    <w:qFormat/>
    <w:uiPriority w:val="0"/>
    <w:pPr>
      <w:numPr>
        <w:ilvl w:val="0"/>
        <w:numId w:val="26"/>
      </w:numPr>
      <w:jc w:val="center"/>
    </w:pPr>
    <w:rPr>
      <w:rFonts w:ascii="黑体" w:hAnsi="Times New Roman" w:eastAsia="黑体" w:cs="Times New Roman"/>
      <w:sz w:val="21"/>
      <w:lang w:val="en-US" w:eastAsia="zh-CN" w:bidi="ar-SA"/>
    </w:rPr>
  </w:style>
  <w:style w:type="paragraph" w:customStyle="1" w:styleId="357">
    <w:name w:val="标准书眉_偶数页"/>
    <w:basedOn w:val="108"/>
    <w:next w:val="1"/>
    <w:qFormat/>
    <w:uiPriority w:val="0"/>
    <w:pPr>
      <w:jc w:val="left"/>
    </w:pPr>
  </w:style>
  <w:style w:type="paragraph" w:customStyle="1" w:styleId="35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59">
    <w:name w:val="目次、标准名称标题"/>
    <w:basedOn w:val="68"/>
    <w:next w:val="78"/>
    <w:qFormat/>
    <w:uiPriority w:val="0"/>
    <w:pPr>
      <w:numPr>
        <w:ilvl w:val="0"/>
        <w:numId w:val="27"/>
      </w:numPr>
      <w:spacing w:line="460" w:lineRule="exact"/>
    </w:pPr>
  </w:style>
  <w:style w:type="paragraph" w:customStyle="1" w:styleId="360">
    <w:name w:val="无缩进正文"/>
    <w:qFormat/>
    <w:uiPriority w:val="0"/>
    <w:pPr>
      <w:spacing w:line="360" w:lineRule="auto"/>
      <w:ind w:firstLine="200" w:firstLineChars="200"/>
    </w:pPr>
    <w:rPr>
      <w:rFonts w:ascii="宋体" w:hAnsi="宋体" w:eastAsia="宋体" w:cs="Times New Roman"/>
      <w:spacing w:val="20"/>
      <w:kern w:val="2"/>
      <w:sz w:val="28"/>
      <w:szCs w:val="28"/>
      <w:lang w:val="en-US" w:eastAsia="zh-CN" w:bidi="ar-SA"/>
    </w:rPr>
  </w:style>
  <w:style w:type="paragraph" w:customStyle="1" w:styleId="36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8"/>
      <w:szCs w:val="28"/>
    </w:rPr>
  </w:style>
  <w:style w:type="paragraph" w:customStyle="1" w:styleId="362">
    <w:name w:val="样式3"/>
    <w:basedOn w:val="26"/>
    <w:qFormat/>
    <w:uiPriority w:val="0"/>
    <w:pPr>
      <w:tabs>
        <w:tab w:val="clear" w:pos="9345"/>
        <w:tab w:val="clear" w:pos="9450"/>
      </w:tabs>
      <w:spacing w:line="240" w:lineRule="auto"/>
      <w:ind w:left="420"/>
    </w:pPr>
  </w:style>
  <w:style w:type="character" w:customStyle="1" w:styleId="363">
    <w:name w:val="正文首行缩进 2 字符"/>
    <w:link w:val="33"/>
    <w:qFormat/>
    <w:uiPriority w:val="0"/>
    <w:rPr>
      <w:rFonts w:ascii="宋体" w:hAnsi="宋体" w:eastAsia="宋体" w:cs="Times New Roman"/>
      <w:kern w:val="2"/>
      <w:sz w:val="21"/>
      <w:szCs w:val="24"/>
    </w:rPr>
  </w:style>
  <w:style w:type="character" w:customStyle="1" w:styleId="364">
    <w:name w:val="纯文本 Char1"/>
    <w:qFormat/>
    <w:uiPriority w:val="0"/>
    <w:rPr>
      <w:rFonts w:ascii="宋体" w:hAnsi="Courier New"/>
      <w:spacing w:val="-8"/>
      <w:kern w:val="2"/>
      <w:sz w:val="24"/>
    </w:rPr>
  </w:style>
  <w:style w:type="character" w:customStyle="1" w:styleId="365">
    <w:name w:val="标题 1 字符"/>
    <w:link w:val="2"/>
    <w:qFormat/>
    <w:uiPriority w:val="0"/>
    <w:rPr>
      <w:rFonts w:eastAsia="楷体_GB2312"/>
      <w:b/>
      <w:kern w:val="44"/>
      <w:sz w:val="72"/>
    </w:rPr>
  </w:style>
  <w:style w:type="character" w:customStyle="1" w:styleId="366">
    <w:name w:val="正文首行缩进 2 Char"/>
    <w:qFormat/>
    <w:uiPriority w:val="0"/>
    <w:rPr>
      <w:rFonts w:ascii="楷体_GB2312" w:hAnsi="宋体" w:eastAsia="楷体_GB2312"/>
      <w:kern w:val="2"/>
      <w:sz w:val="21"/>
      <w:lang w:val="en-US" w:eastAsia="zh-CN" w:bidi="ar-SA"/>
    </w:rPr>
  </w:style>
  <w:style w:type="character" w:customStyle="1" w:styleId="367">
    <w:name w:val="正文文本 Char2"/>
    <w:qFormat/>
    <w:uiPriority w:val="0"/>
    <w:rPr>
      <w:rFonts w:ascii="楷体_GB2312" w:eastAsia="楷体_GB2312"/>
      <w:b/>
      <w:kern w:val="2"/>
      <w:sz w:val="30"/>
      <w:lang w:bidi="ar-SA"/>
    </w:rPr>
  </w:style>
  <w:style w:type="character" w:customStyle="1" w:styleId="368">
    <w:name w:val="标题 6 字符"/>
    <w:link w:val="8"/>
    <w:qFormat/>
    <w:uiPriority w:val="0"/>
    <w:rPr>
      <w:rFonts w:hAnsi="Arial"/>
      <w:i/>
      <w:sz w:val="22"/>
    </w:rPr>
  </w:style>
  <w:style w:type="character" w:customStyle="1" w:styleId="369">
    <w:name w:val="H6 Char"/>
    <w:qFormat/>
    <w:uiPriority w:val="0"/>
    <w:rPr>
      <w:rFonts w:ascii="Arial" w:hAnsi="Arial" w:eastAsia="黑体"/>
      <w:b/>
      <w:kern w:val="2"/>
      <w:sz w:val="24"/>
      <w:lang w:val="en-US" w:eastAsia="zh-CN" w:bidi="ar-SA"/>
    </w:rPr>
  </w:style>
  <w:style w:type="character" w:customStyle="1" w:styleId="370">
    <w:name w:val="（A） Char1"/>
    <w:qFormat/>
    <w:uiPriority w:val="0"/>
    <w:rPr>
      <w:rFonts w:ascii="Arial" w:hAnsi="Arial" w:eastAsia="黑体"/>
      <w:kern w:val="2"/>
      <w:sz w:val="24"/>
      <w:lang w:bidi="ar-SA"/>
    </w:rPr>
  </w:style>
  <w:style w:type="character" w:customStyle="1" w:styleId="371">
    <w:name w:val="hwyang Char"/>
    <w:link w:val="194"/>
    <w:qFormat/>
    <w:uiPriority w:val="0"/>
    <w:rPr>
      <w:rFonts w:ascii="仿宋_GB2312" w:eastAsia="仿宋_GB2312"/>
      <w:sz w:val="28"/>
      <w:szCs w:val="28"/>
    </w:rPr>
  </w:style>
  <w:style w:type="character" w:customStyle="1" w:styleId="372">
    <w:name w:val="批注主题 字符"/>
    <w:link w:val="12"/>
    <w:qFormat/>
    <w:uiPriority w:val="0"/>
    <w:rPr>
      <w:rFonts w:eastAsia="宋体"/>
      <w:b/>
      <w:bCs/>
      <w:kern w:val="2"/>
      <w:sz w:val="21"/>
      <w:lang w:val="en-US" w:eastAsia="zh-CN" w:bidi="ar-SA"/>
    </w:rPr>
  </w:style>
  <w:style w:type="character" w:customStyle="1" w:styleId="373">
    <w:name w:val="p141"/>
    <w:qFormat/>
    <w:uiPriority w:val="0"/>
    <w:rPr>
      <w:sz w:val="21"/>
      <w:szCs w:val="21"/>
    </w:rPr>
  </w:style>
  <w:style w:type="character" w:customStyle="1" w:styleId="374">
    <w:name w:val="H6 Char1"/>
    <w:qFormat/>
    <w:uiPriority w:val="0"/>
    <w:rPr>
      <w:rFonts w:ascii="Arial" w:hAnsi="Arial" w:eastAsia="黑体"/>
      <w:b/>
      <w:kern w:val="2"/>
      <w:sz w:val="24"/>
      <w:lang w:bidi="ar-SA"/>
    </w:rPr>
  </w:style>
  <w:style w:type="character" w:customStyle="1" w:styleId="375">
    <w:name w:val="font31"/>
    <w:qFormat/>
    <w:uiPriority w:val="0"/>
    <w:rPr>
      <w:rFonts w:hint="default" w:ascii="Arial" w:hAnsi="Arial" w:cs="Arial"/>
      <w:color w:val="000000"/>
      <w:sz w:val="21"/>
      <w:szCs w:val="21"/>
      <w:u w:val="none"/>
    </w:rPr>
  </w:style>
  <w:style w:type="character" w:customStyle="1" w:styleId="376">
    <w:name w:val="Footer-Even Char Char1"/>
    <w:qFormat/>
    <w:uiPriority w:val="0"/>
    <w:rPr>
      <w:rFonts w:eastAsia="宋体"/>
      <w:kern w:val="2"/>
      <w:sz w:val="18"/>
      <w:szCs w:val="18"/>
      <w:lang w:val="en-US" w:eastAsia="zh-CN" w:bidi="ar-SA"/>
    </w:rPr>
  </w:style>
  <w:style w:type="character" w:customStyle="1" w:styleId="377">
    <w:name w:val="style1"/>
    <w:qFormat/>
    <w:uiPriority w:val="0"/>
  </w:style>
  <w:style w:type="character" w:customStyle="1" w:styleId="378">
    <w:name w:val="unnamed11"/>
    <w:qFormat/>
    <w:uiPriority w:val="0"/>
    <w:rPr>
      <w:color w:val="000000"/>
      <w:sz w:val="18"/>
      <w:szCs w:val="18"/>
      <w:u w:val="none"/>
    </w:rPr>
  </w:style>
  <w:style w:type="character" w:customStyle="1" w:styleId="379">
    <w:name w:val="ZW Char Char"/>
    <w:link w:val="323"/>
    <w:qFormat/>
    <w:uiPriority w:val="0"/>
    <w:rPr>
      <w:rFonts w:ascii="宋体" w:hAnsi="宋体"/>
      <w:sz w:val="24"/>
      <w:szCs w:val="24"/>
    </w:rPr>
  </w:style>
  <w:style w:type="character" w:customStyle="1" w:styleId="380">
    <w:name w:val="weby11"/>
    <w:qFormat/>
    <w:uiPriority w:val="0"/>
    <w:rPr>
      <w:sz w:val="18"/>
      <w:szCs w:val="18"/>
    </w:rPr>
  </w:style>
  <w:style w:type="character" w:customStyle="1" w:styleId="381">
    <w:name w:val="A15"/>
    <w:qFormat/>
    <w:uiPriority w:val="0"/>
    <w:rPr>
      <w:rFonts w:ascii="Times New Roman"/>
      <w:color w:val="000000"/>
      <w:sz w:val="14"/>
      <w:szCs w:val="14"/>
    </w:rPr>
  </w:style>
  <w:style w:type="character" w:customStyle="1" w:styleId="382">
    <w:name w:val="正文文本缩进 2 字符"/>
    <w:link w:val="30"/>
    <w:qFormat/>
    <w:uiPriority w:val="0"/>
    <w:rPr>
      <w:rFonts w:ascii="楷体_GB2312" w:eastAsia="楷体_GB2312"/>
      <w:kern w:val="2"/>
      <w:sz w:val="28"/>
    </w:rPr>
  </w:style>
  <w:style w:type="character" w:customStyle="1" w:styleId="383">
    <w:name w:val="font01"/>
    <w:qFormat/>
    <w:uiPriority w:val="0"/>
    <w:rPr>
      <w:rFonts w:hint="eastAsia" w:ascii="宋体" w:hAnsi="宋体" w:eastAsia="宋体" w:cs="宋体"/>
      <w:color w:val="000000"/>
      <w:sz w:val="22"/>
      <w:szCs w:val="22"/>
      <w:u w:val="none"/>
    </w:rPr>
  </w:style>
  <w:style w:type="character" w:customStyle="1" w:styleId="384">
    <w:name w:val="H6 Char2"/>
    <w:qFormat/>
    <w:uiPriority w:val="0"/>
    <w:rPr>
      <w:rFonts w:ascii="Arial" w:hAnsi="Arial" w:eastAsia="黑体"/>
      <w:b/>
      <w:kern w:val="2"/>
      <w:sz w:val="24"/>
      <w:lang w:bidi="ar-SA"/>
    </w:rPr>
  </w:style>
  <w:style w:type="character" w:customStyle="1" w:styleId="385">
    <w:name w:val="section1"/>
    <w:basedOn w:val="52"/>
    <w:qFormat/>
    <w:uiPriority w:val="0"/>
  </w:style>
  <w:style w:type="character" w:customStyle="1" w:styleId="386">
    <w:name w:val="PIM 9 Char"/>
    <w:qFormat/>
    <w:uiPriority w:val="0"/>
    <w:rPr>
      <w:rFonts w:ascii="Arial" w:hAnsi="Arial" w:eastAsia="黑体"/>
      <w:kern w:val="2"/>
      <w:sz w:val="21"/>
      <w:lang w:bidi="ar-SA"/>
    </w:rPr>
  </w:style>
  <w:style w:type="character" w:customStyle="1" w:styleId="387">
    <w:name w:val="cnfont1"/>
    <w:basedOn w:val="52"/>
    <w:qFormat/>
    <w:uiPriority w:val="0"/>
  </w:style>
  <w:style w:type="character" w:customStyle="1" w:styleId="388">
    <w:name w:val="style41"/>
    <w:qFormat/>
    <w:uiPriority w:val="0"/>
    <w:rPr>
      <w:rFonts w:hint="default" w:ascii="Times New Roman" w:hAnsi="Times New Roman" w:cs="Times New Roman"/>
      <w:sz w:val="21"/>
      <w:szCs w:val="21"/>
    </w:rPr>
  </w:style>
  <w:style w:type="character" w:customStyle="1" w:styleId="389">
    <w:name w:val="批注文字 字符"/>
    <w:link w:val="13"/>
    <w:qFormat/>
    <w:uiPriority w:val="99"/>
    <w:rPr>
      <w:rFonts w:eastAsia="宋体"/>
      <w:kern w:val="2"/>
      <w:sz w:val="21"/>
      <w:szCs w:val="24"/>
      <w:lang w:val="en-US" w:eastAsia="zh-CN" w:bidi="ar-SA"/>
    </w:rPr>
  </w:style>
  <w:style w:type="character" w:customStyle="1" w:styleId="390">
    <w:name w:val="Footer1 Char Char"/>
    <w:qFormat/>
    <w:uiPriority w:val="0"/>
    <w:rPr>
      <w:rFonts w:ascii="宋体"/>
      <w:sz w:val="18"/>
    </w:rPr>
  </w:style>
  <w:style w:type="character" w:customStyle="1" w:styleId="391">
    <w:name w:val="Footer1 Char Char1"/>
    <w:qFormat/>
    <w:uiPriority w:val="0"/>
    <w:rPr>
      <w:rFonts w:eastAsia="宋体"/>
      <w:sz w:val="18"/>
      <w:szCs w:val="18"/>
      <w:lang w:val="en-US" w:eastAsia="zh-CN" w:bidi="ar-SA"/>
    </w:rPr>
  </w:style>
  <w:style w:type="character" w:customStyle="1" w:styleId="392">
    <w:name w:val="无缩进正文 Char Char"/>
    <w:link w:val="211"/>
    <w:qFormat/>
    <w:uiPriority w:val="0"/>
    <w:rPr>
      <w:rFonts w:ascii="宋体" w:hAnsi="宋体" w:eastAsia="Times New Roman"/>
      <w:spacing w:val="20"/>
      <w:sz w:val="28"/>
      <w:szCs w:val="28"/>
      <w:lang w:val="en-US" w:eastAsia="zh-CN" w:bidi="ar-SA"/>
    </w:rPr>
  </w:style>
  <w:style w:type="character" w:customStyle="1" w:styleId="393">
    <w:name w:val="标题 字符"/>
    <w:link w:val="51"/>
    <w:qFormat/>
    <w:uiPriority w:val="0"/>
    <w:rPr>
      <w:rFonts w:ascii="Arial" w:hAnsi="Arial" w:eastAsia="宋体" w:cs="Arial"/>
      <w:b/>
      <w:bCs/>
      <w:kern w:val="2"/>
      <w:sz w:val="32"/>
      <w:szCs w:val="32"/>
      <w:lang w:val="en-US" w:eastAsia="zh-CN" w:bidi="ar-SA"/>
    </w:rPr>
  </w:style>
  <w:style w:type="character" w:customStyle="1" w:styleId="394">
    <w:name w:val="Char Char17"/>
    <w:qFormat/>
    <w:uiPriority w:val="0"/>
    <w:rPr>
      <w:rFonts w:eastAsia="宋体"/>
      <w:kern w:val="2"/>
      <w:sz w:val="21"/>
      <w:szCs w:val="24"/>
      <w:lang w:val="en-US" w:eastAsia="zh-CN" w:bidi="ar-SA"/>
    </w:rPr>
  </w:style>
  <w:style w:type="character" w:customStyle="1" w:styleId="395">
    <w:name w:val="中文标题_3 Char"/>
    <w:link w:val="283"/>
    <w:qFormat/>
    <w:uiPriority w:val="0"/>
    <w:rPr>
      <w:b/>
      <w:sz w:val="24"/>
      <w:szCs w:val="24"/>
    </w:rPr>
  </w:style>
  <w:style w:type="character" w:customStyle="1" w:styleId="396">
    <w:name w:val="标题 7 字符"/>
    <w:link w:val="9"/>
    <w:qFormat/>
    <w:uiPriority w:val="0"/>
    <w:rPr>
      <w:rFonts w:ascii="Arial" w:hAnsi="Arial"/>
    </w:rPr>
  </w:style>
  <w:style w:type="character" w:customStyle="1" w:styleId="397">
    <w:name w:val="页眉 字符"/>
    <w:link w:val="34"/>
    <w:qFormat/>
    <w:uiPriority w:val="0"/>
    <w:rPr>
      <w:rFonts w:eastAsia="宋体"/>
      <w:kern w:val="2"/>
      <w:sz w:val="18"/>
      <w:szCs w:val="18"/>
      <w:lang w:val="en-US" w:eastAsia="zh-CN" w:bidi="ar-SA"/>
    </w:rPr>
  </w:style>
  <w:style w:type="character" w:customStyle="1" w:styleId="398">
    <w:name w:val="标题 3 字符"/>
    <w:link w:val="4"/>
    <w:qFormat/>
    <w:locked/>
    <w:uiPriority w:val="0"/>
    <w:rPr>
      <w:rFonts w:ascii="宋体" w:hAnsi="宋体" w:eastAsia="宋体"/>
      <w:b/>
      <w:kern w:val="2"/>
      <w:sz w:val="24"/>
      <w:lang w:bidi="ar-SA"/>
    </w:rPr>
  </w:style>
  <w:style w:type="character" w:customStyle="1" w:styleId="399">
    <w:name w:val="正文文本 2 字符"/>
    <w:link w:val="47"/>
    <w:qFormat/>
    <w:uiPriority w:val="0"/>
    <w:rPr>
      <w:rFonts w:eastAsia="楷体_GB2312"/>
      <w:kern w:val="2"/>
      <w:sz w:val="28"/>
    </w:rPr>
  </w:style>
  <w:style w:type="character" w:customStyle="1" w:styleId="400">
    <w:name w:val="批注文字 Char1"/>
    <w:qFormat/>
    <w:uiPriority w:val="0"/>
    <w:rPr>
      <w:rFonts w:eastAsia="宋体"/>
      <w:kern w:val="2"/>
      <w:sz w:val="21"/>
      <w:szCs w:val="24"/>
      <w:lang w:val="en-US" w:eastAsia="zh-CN" w:bidi="ar-SA"/>
    </w:rPr>
  </w:style>
  <w:style w:type="character" w:customStyle="1" w:styleId="401">
    <w:name w:val="A4"/>
    <w:qFormat/>
    <w:uiPriority w:val="0"/>
    <w:rPr>
      <w:rFonts w:cs="新宋体"/>
      <w:color w:val="000000"/>
    </w:rPr>
  </w:style>
  <w:style w:type="character" w:customStyle="1" w:styleId="402">
    <w:name w:val="apple-converted-space"/>
    <w:qFormat/>
    <w:uiPriority w:val="0"/>
  </w:style>
  <w:style w:type="character" w:customStyle="1" w:styleId="403">
    <w:name w:val="（A） Char"/>
    <w:qFormat/>
    <w:uiPriority w:val="0"/>
    <w:rPr>
      <w:rFonts w:ascii="Arial" w:hAnsi="Arial" w:eastAsia="黑体"/>
      <w:kern w:val="2"/>
      <w:sz w:val="24"/>
      <w:lang w:bidi="ar-SA"/>
    </w:rPr>
  </w:style>
  <w:style w:type="character" w:customStyle="1" w:styleId="404">
    <w:name w:val="p141_0"/>
    <w:qFormat/>
    <w:uiPriority w:val="0"/>
    <w:rPr>
      <w:rFonts w:ascii="Calibri" w:hAnsi="Calibri"/>
      <w:sz w:val="21"/>
      <w:szCs w:val="21"/>
    </w:rPr>
  </w:style>
  <w:style w:type="character" w:customStyle="1" w:styleId="405">
    <w:name w:val="普通文字 Char4"/>
    <w:qFormat/>
    <w:uiPriority w:val="0"/>
    <w:rPr>
      <w:rFonts w:ascii="宋体" w:hAnsi="Courier New"/>
      <w:spacing w:val="-8"/>
      <w:kern w:val="2"/>
      <w:sz w:val="24"/>
    </w:rPr>
  </w:style>
  <w:style w:type="character" w:customStyle="1" w:styleId="406">
    <w:name w:val="标题样式1 Char"/>
    <w:link w:val="290"/>
    <w:qFormat/>
    <w:uiPriority w:val="0"/>
    <w:rPr>
      <w:rFonts w:ascii="宋体" w:hAnsi="Arial"/>
      <w:b/>
      <w:kern w:val="2"/>
      <w:sz w:val="28"/>
    </w:rPr>
  </w:style>
  <w:style w:type="character" w:customStyle="1" w:styleId="407">
    <w:name w:val="Footer-Even Char Char"/>
    <w:qFormat/>
    <w:uiPriority w:val="0"/>
    <w:rPr>
      <w:rFonts w:eastAsia="宋体"/>
      <w:kern w:val="2"/>
      <w:sz w:val="18"/>
      <w:szCs w:val="18"/>
      <w:lang w:val="en-US" w:eastAsia="zh-CN" w:bidi="ar-SA"/>
    </w:rPr>
  </w:style>
  <w:style w:type="character" w:customStyle="1" w:styleId="408">
    <w:name w:val="标题 Char1"/>
    <w:qFormat/>
    <w:uiPriority w:val="10"/>
    <w:rPr>
      <w:rFonts w:ascii="Cambria" w:hAnsi="Cambria" w:eastAsia="宋体" w:cs="Times New Roman"/>
      <w:b/>
      <w:bCs/>
      <w:sz w:val="32"/>
      <w:szCs w:val="32"/>
    </w:rPr>
  </w:style>
  <w:style w:type="character" w:customStyle="1" w:styleId="409">
    <w:name w:val="msonormal"/>
    <w:basedOn w:val="52"/>
    <w:qFormat/>
    <w:uiPriority w:val="0"/>
  </w:style>
  <w:style w:type="character" w:customStyle="1" w:styleId="410">
    <w:name w:val="纯文本 字符"/>
    <w:link w:val="27"/>
    <w:qFormat/>
    <w:uiPriority w:val="0"/>
    <w:rPr>
      <w:rFonts w:ascii="宋体" w:hAnsi="Courier New" w:eastAsia="宋体"/>
      <w:kern w:val="2"/>
      <w:sz w:val="21"/>
      <w:lang w:val="en-US" w:eastAsia="zh-CN" w:bidi="ar-SA"/>
    </w:rPr>
  </w:style>
  <w:style w:type="character" w:customStyle="1" w:styleId="411">
    <w:name w:val="个人答复风格"/>
    <w:qFormat/>
    <w:uiPriority w:val="0"/>
    <w:rPr>
      <w:rFonts w:ascii="Arial" w:hAnsi="Arial" w:eastAsia="宋体" w:cs="Arial"/>
      <w:color w:val="auto"/>
      <w:sz w:val="20"/>
    </w:rPr>
  </w:style>
  <w:style w:type="character" w:customStyle="1" w:styleId="412">
    <w:name w:val="unnamed21"/>
    <w:qFormat/>
    <w:uiPriority w:val="0"/>
    <w:rPr>
      <w:color w:val="CC6633"/>
      <w:u w:val="none"/>
    </w:rPr>
  </w:style>
  <w:style w:type="character" w:customStyle="1" w:styleId="413">
    <w:name w:val="D正文 Char"/>
    <w:link w:val="298"/>
    <w:qFormat/>
    <w:uiPriority w:val="0"/>
    <w:rPr>
      <w:sz w:val="24"/>
      <w:szCs w:val="24"/>
    </w:rPr>
  </w:style>
  <w:style w:type="character" w:customStyle="1" w:styleId="414">
    <w:name w:val="H3 Char"/>
    <w:qFormat/>
    <w:locked/>
    <w:uiPriority w:val="0"/>
    <w:rPr>
      <w:rFonts w:ascii="宋体" w:hAnsi="宋体" w:eastAsia="宋体"/>
      <w:b/>
      <w:kern w:val="2"/>
      <w:sz w:val="24"/>
      <w:lang w:bidi="ar-SA"/>
    </w:rPr>
  </w:style>
  <w:style w:type="character" w:customStyle="1" w:styleId="415">
    <w:name w:val="脚注文本 字符"/>
    <w:link w:val="41"/>
    <w:qFormat/>
    <w:uiPriority w:val="0"/>
    <w:rPr>
      <w:rFonts w:eastAsia="宋体"/>
      <w:kern w:val="2"/>
      <w:sz w:val="18"/>
      <w:szCs w:val="18"/>
      <w:lang w:bidi="ar-SA"/>
    </w:rPr>
  </w:style>
  <w:style w:type="character" w:customStyle="1" w:styleId="416">
    <w:name w:val="PIM 9 Char1"/>
    <w:qFormat/>
    <w:uiPriority w:val="0"/>
    <w:rPr>
      <w:rFonts w:ascii="Arial" w:hAnsi="Arial" w:eastAsia="黑体"/>
      <w:kern w:val="2"/>
      <w:sz w:val="21"/>
      <w:lang w:bidi="ar-SA"/>
    </w:rPr>
  </w:style>
  <w:style w:type="character" w:customStyle="1" w:styleId="417">
    <w:name w:val="普通文字 Char2"/>
    <w:qFormat/>
    <w:locked/>
    <w:uiPriority w:val="0"/>
    <w:rPr>
      <w:rFonts w:ascii="宋体" w:hAnsi="Courier New" w:eastAsia="宋体"/>
      <w:kern w:val="2"/>
      <w:sz w:val="21"/>
      <w:lang w:val="en-US" w:eastAsia="zh-CN" w:bidi="ar-SA"/>
    </w:rPr>
  </w:style>
  <w:style w:type="character" w:customStyle="1" w:styleId="418">
    <w:name w:val="PIM 7 Char1"/>
    <w:qFormat/>
    <w:uiPriority w:val="0"/>
    <w:rPr>
      <w:rFonts w:eastAsia="宋体"/>
      <w:b/>
      <w:kern w:val="2"/>
      <w:sz w:val="24"/>
      <w:lang w:bidi="ar-SA"/>
    </w:rPr>
  </w:style>
  <w:style w:type="character" w:customStyle="1" w:styleId="419">
    <w:name w:val="签名 字符"/>
    <w:link w:val="35"/>
    <w:qFormat/>
    <w:uiPriority w:val="0"/>
    <w:rPr>
      <w:rFonts w:ascii="Calibri" w:hAnsi="Calibri" w:eastAsia="楷体_GB2312" w:cs="Times New Roman"/>
      <w:kern w:val="2"/>
      <w:sz w:val="21"/>
      <w:szCs w:val="22"/>
    </w:rPr>
  </w:style>
  <w:style w:type="character" w:customStyle="1" w:styleId="420">
    <w:name w:val="普通文字 Char3"/>
    <w:qFormat/>
    <w:uiPriority w:val="0"/>
    <w:rPr>
      <w:rFonts w:ascii="宋体" w:hAnsi="Courier New" w:eastAsia="宋体"/>
      <w:kern w:val="2"/>
      <w:sz w:val="21"/>
      <w:lang w:val="en-US" w:eastAsia="zh-CN" w:bidi="ar-SA"/>
    </w:rPr>
  </w:style>
  <w:style w:type="character" w:customStyle="1" w:styleId="421">
    <w:name w:val="日期 字符"/>
    <w:link w:val="29"/>
    <w:qFormat/>
    <w:uiPriority w:val="0"/>
    <w:rPr>
      <w:rFonts w:eastAsia="宋体"/>
      <w:sz w:val="32"/>
      <w:lang w:val="en-US" w:eastAsia="zh-CN" w:bidi="ar-SA"/>
    </w:rPr>
  </w:style>
  <w:style w:type="character" w:customStyle="1" w:styleId="422">
    <w:name w:val="Footer-Even Char Char2"/>
    <w:qFormat/>
    <w:uiPriority w:val="0"/>
    <w:rPr>
      <w:kern w:val="2"/>
      <w:sz w:val="18"/>
    </w:rPr>
  </w:style>
  <w:style w:type="character" w:customStyle="1" w:styleId="423">
    <w:name w:val="签名 Char"/>
    <w:qFormat/>
    <w:uiPriority w:val="0"/>
    <w:rPr>
      <w:kern w:val="2"/>
      <w:sz w:val="21"/>
    </w:rPr>
  </w:style>
  <w:style w:type="character" w:customStyle="1" w:styleId="424">
    <w:name w:val="正文文本缩进 字符"/>
    <w:link w:val="23"/>
    <w:qFormat/>
    <w:uiPriority w:val="0"/>
    <w:rPr>
      <w:rFonts w:ascii="楷体_GB2312" w:hAnsi="宋体" w:eastAsia="楷体_GB2312"/>
      <w:kern w:val="2"/>
      <w:sz w:val="28"/>
      <w:lang w:val="en-US" w:eastAsia="zh-CN" w:bidi="ar-SA"/>
    </w:rPr>
  </w:style>
  <w:style w:type="character" w:customStyle="1" w:styleId="425">
    <w:name w:val="font21"/>
    <w:basedOn w:val="52"/>
    <w:qFormat/>
    <w:uiPriority w:val="0"/>
    <w:rPr>
      <w:rFonts w:hint="default" w:ascii="Times New Roman" w:hAnsi="Times New Roman" w:cs="Times New Roman"/>
      <w:color w:val="000000"/>
      <w:sz w:val="20"/>
      <w:szCs w:val="20"/>
      <w:u w:val="none"/>
    </w:rPr>
  </w:style>
  <w:style w:type="character" w:customStyle="1" w:styleId="426">
    <w:name w:val="正文文本缩进 3 字符"/>
    <w:link w:val="43"/>
    <w:qFormat/>
    <w:uiPriority w:val="0"/>
    <w:rPr>
      <w:kern w:val="2"/>
      <w:sz w:val="16"/>
      <w:szCs w:val="16"/>
    </w:rPr>
  </w:style>
  <w:style w:type="character" w:customStyle="1" w:styleId="427">
    <w:name w:val="H2 Char1"/>
    <w:qFormat/>
    <w:uiPriority w:val="0"/>
    <w:rPr>
      <w:rFonts w:ascii="Arial" w:hAnsi="Arial" w:eastAsia="黑体"/>
      <w:b/>
      <w:spacing w:val="24"/>
      <w:sz w:val="24"/>
      <w:lang w:val="en-US" w:eastAsia="zh-CN" w:bidi="ar-SA"/>
    </w:rPr>
  </w:style>
  <w:style w:type="character" w:customStyle="1" w:styleId="428">
    <w:name w:val="标题 9 字符"/>
    <w:link w:val="11"/>
    <w:qFormat/>
    <w:uiPriority w:val="0"/>
    <w:rPr>
      <w:rFonts w:ascii="Arial" w:hAnsi="Arial"/>
      <w:b/>
      <w:i/>
      <w:sz w:val="18"/>
    </w:rPr>
  </w:style>
  <w:style w:type="character" w:customStyle="1" w:styleId="429">
    <w:name w:val="标题 8 字符"/>
    <w:link w:val="10"/>
    <w:qFormat/>
    <w:uiPriority w:val="0"/>
    <w:rPr>
      <w:rFonts w:ascii="Arial" w:hAnsi="Arial"/>
      <w:i/>
    </w:rPr>
  </w:style>
  <w:style w:type="character" w:customStyle="1" w:styleId="430">
    <w:name w:val="标题 5 字符"/>
    <w:link w:val="7"/>
    <w:qFormat/>
    <w:uiPriority w:val="0"/>
    <w:rPr>
      <w:rFonts w:ascii="Arial" w:hAnsi="Arial"/>
      <w:sz w:val="22"/>
    </w:rPr>
  </w:style>
  <w:style w:type="character" w:customStyle="1" w:styleId="431">
    <w:name w:val="txt1"/>
    <w:qFormat/>
    <w:uiPriority w:val="0"/>
    <w:rPr>
      <w:rFonts w:hint="default"/>
      <w:sz w:val="18"/>
      <w:szCs w:val="18"/>
    </w:rPr>
  </w:style>
  <w:style w:type="character" w:customStyle="1" w:styleId="432">
    <w:name w:val="标题 5(小标题) Char"/>
    <w:qFormat/>
    <w:uiPriority w:val="0"/>
    <w:rPr>
      <w:rFonts w:eastAsia="宋体"/>
      <w:b/>
      <w:kern w:val="2"/>
      <w:sz w:val="28"/>
      <w:lang w:val="en-US" w:eastAsia="zh-CN" w:bidi="ar-SA"/>
    </w:rPr>
  </w:style>
  <w:style w:type="character" w:customStyle="1" w:styleId="433">
    <w:name w:val="h21"/>
    <w:qFormat/>
    <w:uiPriority w:val="0"/>
    <w:rPr>
      <w:sz w:val="19"/>
      <w:szCs w:val="19"/>
    </w:rPr>
  </w:style>
  <w:style w:type="character" w:customStyle="1" w:styleId="434">
    <w:name w:val="页脚 字符"/>
    <w:link w:val="32"/>
    <w:qFormat/>
    <w:uiPriority w:val="0"/>
    <w:rPr>
      <w:rFonts w:eastAsia="宋体"/>
      <w:kern w:val="2"/>
      <w:sz w:val="18"/>
      <w:lang w:bidi="ar-SA"/>
    </w:rPr>
  </w:style>
  <w:style w:type="character" w:customStyle="1" w:styleId="435">
    <w:name w:val="标题 4 字符"/>
    <w:link w:val="6"/>
    <w:qFormat/>
    <w:uiPriority w:val="0"/>
    <w:rPr>
      <w:rFonts w:ascii="楷体_GB2312" w:eastAsia="楷体_GB2312"/>
      <w:kern w:val="2"/>
      <w:sz w:val="30"/>
      <w:lang w:bidi="ar-SA"/>
    </w:rPr>
  </w:style>
  <w:style w:type="character" w:customStyle="1" w:styleId="436">
    <w:name w:val="文档结构图 字符"/>
    <w:link w:val="19"/>
    <w:qFormat/>
    <w:uiPriority w:val="99"/>
    <w:rPr>
      <w:kern w:val="2"/>
      <w:sz w:val="21"/>
      <w:shd w:val="clear" w:color="auto" w:fill="000080"/>
    </w:rPr>
  </w:style>
  <w:style w:type="character" w:customStyle="1" w:styleId="437">
    <w:name w:val="样式标题2 Char"/>
    <w:link w:val="124"/>
    <w:qFormat/>
    <w:uiPriority w:val="0"/>
    <w:rPr>
      <w:b/>
      <w:bCs/>
      <w:kern w:val="2"/>
      <w:sz w:val="24"/>
      <w:szCs w:val="24"/>
    </w:rPr>
  </w:style>
  <w:style w:type="character" w:customStyle="1" w:styleId="438">
    <w:name w:val="页脚2 Char Char"/>
    <w:qFormat/>
    <w:uiPriority w:val="0"/>
    <w:rPr>
      <w:rFonts w:ascii="宋体" w:hAnsi="宋体" w:eastAsia="宋体"/>
      <w:sz w:val="18"/>
      <w:lang w:val="en-US" w:eastAsia="zh-CN" w:bidi="ar-SA"/>
    </w:rPr>
  </w:style>
  <w:style w:type="character" w:customStyle="1" w:styleId="439">
    <w:name w:val="unnamed41"/>
    <w:qFormat/>
    <w:uiPriority w:val="0"/>
    <w:rPr>
      <w:sz w:val="21"/>
      <w:szCs w:val="21"/>
      <w:u w:val="none"/>
    </w:rPr>
  </w:style>
  <w:style w:type="character" w:customStyle="1" w:styleId="440">
    <w:name w:val="_正文段落 Char"/>
    <w:link w:val="106"/>
    <w:qFormat/>
    <w:uiPriority w:val="0"/>
    <w:rPr>
      <w:sz w:val="24"/>
      <w:szCs w:val="24"/>
    </w:rPr>
  </w:style>
  <w:style w:type="character" w:customStyle="1" w:styleId="441">
    <w:name w:val="t_tag"/>
    <w:basedOn w:val="52"/>
    <w:qFormat/>
    <w:uiPriority w:val="0"/>
  </w:style>
  <w:style w:type="character" w:customStyle="1" w:styleId="442">
    <w:name w:val="标题1"/>
    <w:qFormat/>
    <w:uiPriority w:val="0"/>
  </w:style>
  <w:style w:type="character" w:customStyle="1" w:styleId="443">
    <w:name w:val="批注框文本 字符"/>
    <w:link w:val="31"/>
    <w:qFormat/>
    <w:uiPriority w:val="0"/>
    <w:rPr>
      <w:kern w:val="2"/>
      <w:sz w:val="18"/>
      <w:szCs w:val="18"/>
    </w:rPr>
  </w:style>
  <w:style w:type="character" w:customStyle="1" w:styleId="444">
    <w:name w:val="页脚2 Char"/>
    <w:link w:val="225"/>
    <w:qFormat/>
    <w:uiPriority w:val="0"/>
    <w:rPr>
      <w:rFonts w:ascii="宋体" w:hAnsi="宋体" w:eastAsia="宋体"/>
      <w:sz w:val="18"/>
      <w:szCs w:val="18"/>
      <w:lang w:val="en-US" w:eastAsia="zh-CN" w:bidi="ar-SA"/>
    </w:rPr>
  </w:style>
  <w:style w:type="character" w:customStyle="1" w:styleId="445">
    <w:name w:val="标题 5(小标题) Char1"/>
    <w:qFormat/>
    <w:uiPriority w:val="0"/>
    <w:rPr>
      <w:rFonts w:eastAsia="宋体"/>
      <w:b/>
      <w:kern w:val="2"/>
      <w:sz w:val="28"/>
      <w:lang w:bidi="ar-SA"/>
    </w:rPr>
  </w:style>
  <w:style w:type="character" w:customStyle="1" w:styleId="446">
    <w:name w:val="para"/>
    <w:qFormat/>
    <w:uiPriority w:val="0"/>
  </w:style>
  <w:style w:type="character" w:customStyle="1" w:styleId="447">
    <w:name w:val="样式 宋体 四号"/>
    <w:qFormat/>
    <w:uiPriority w:val="0"/>
    <w:rPr>
      <w:rFonts w:ascii="宋体" w:hAnsi="宋体" w:eastAsia="宋体"/>
      <w:sz w:val="24"/>
    </w:rPr>
  </w:style>
  <w:style w:type="character" w:customStyle="1" w:styleId="448">
    <w:name w:val="XGZ正文宋四 Char"/>
    <w:link w:val="263"/>
    <w:qFormat/>
    <w:uiPriority w:val="0"/>
    <w:rPr>
      <w:rFonts w:ascii="Century" w:hAnsi="Century" w:eastAsia="新宋体"/>
      <w:sz w:val="28"/>
      <w:szCs w:val="24"/>
      <w:lang w:eastAsia="ja-JP"/>
    </w:rPr>
  </w:style>
  <w:style w:type="character" w:customStyle="1" w:styleId="449">
    <w:name w:val="PIM 7 Char"/>
    <w:qFormat/>
    <w:uiPriority w:val="0"/>
    <w:rPr>
      <w:rFonts w:eastAsia="宋体"/>
      <w:b/>
      <w:kern w:val="2"/>
      <w:sz w:val="24"/>
      <w:lang w:bidi="ar-SA"/>
    </w:rPr>
  </w:style>
  <w:style w:type="character" w:customStyle="1" w:styleId="450">
    <w:name w:val="正文文本缩进 Char2"/>
    <w:semiHidden/>
    <w:qFormat/>
    <w:uiPriority w:val="99"/>
    <w:rPr>
      <w:rFonts w:ascii="Times New Roman" w:hAnsi="Times New Roman" w:eastAsia="宋体" w:cs="Times New Roman"/>
      <w:szCs w:val="24"/>
    </w:rPr>
  </w:style>
  <w:style w:type="character" w:customStyle="1" w:styleId="451">
    <w:name w:val="正文普通文字 Char1"/>
    <w:qFormat/>
    <w:uiPriority w:val="0"/>
    <w:rPr>
      <w:kern w:val="2"/>
      <w:sz w:val="24"/>
    </w:rPr>
  </w:style>
  <w:style w:type="character" w:customStyle="1" w:styleId="452">
    <w:name w:val="标题 2 Char"/>
    <w:qFormat/>
    <w:uiPriority w:val="0"/>
    <w:rPr>
      <w:rFonts w:ascii="Arial" w:hAnsi="Arial" w:eastAsia="黑体"/>
      <w:b/>
      <w:bCs/>
      <w:kern w:val="2"/>
      <w:sz w:val="32"/>
      <w:szCs w:val="32"/>
      <w:lang w:val="en-US" w:eastAsia="zh-CN" w:bidi="ar-SA"/>
    </w:rPr>
  </w:style>
  <w:style w:type="character" w:customStyle="1" w:styleId="453">
    <w:name w:val="Char Char14"/>
    <w:qFormat/>
    <w:uiPriority w:val="0"/>
    <w:rPr>
      <w:rFonts w:ascii="宋体" w:hAnsi="Courier New" w:eastAsia="宋体"/>
      <w:kern w:val="2"/>
      <w:sz w:val="24"/>
      <w:lang w:val="en-US" w:eastAsia="zh-CN" w:bidi="ar-SA"/>
    </w:rPr>
  </w:style>
  <w:style w:type="character" w:customStyle="1" w:styleId="454">
    <w:name w:val="msoins0"/>
    <w:qFormat/>
    <w:uiPriority w:val="0"/>
  </w:style>
  <w:style w:type="character" w:customStyle="1" w:styleId="455">
    <w:name w:val="keyword"/>
    <w:basedOn w:val="52"/>
    <w:qFormat/>
    <w:uiPriority w:val="0"/>
  </w:style>
  <w:style w:type="character" w:customStyle="1" w:styleId="456">
    <w:name w:val="正文缩进 字符"/>
    <w:link w:val="5"/>
    <w:qFormat/>
    <w:uiPriority w:val="0"/>
    <w:rPr>
      <w:rFonts w:eastAsia="宋体"/>
      <w:kern w:val="2"/>
      <w:sz w:val="21"/>
      <w:lang w:val="en-US" w:eastAsia="zh-CN" w:bidi="ar-SA"/>
    </w:rPr>
  </w:style>
  <w:style w:type="character" w:customStyle="1" w:styleId="457">
    <w:name w:val="apple-style-span"/>
    <w:qFormat/>
    <w:uiPriority w:val="0"/>
  </w:style>
  <w:style w:type="character" w:customStyle="1" w:styleId="458">
    <w:name w:val="普通文字 Char1"/>
    <w:qFormat/>
    <w:uiPriority w:val="0"/>
    <w:rPr>
      <w:rFonts w:ascii="宋体" w:hAnsi="Courier New" w:eastAsia="宋体"/>
      <w:kern w:val="2"/>
      <w:sz w:val="24"/>
      <w:lang w:val="en-US" w:eastAsia="zh-CN" w:bidi="ar-SA"/>
    </w:rPr>
  </w:style>
  <w:style w:type="character" w:customStyle="1" w:styleId="459">
    <w:name w:val="con"/>
    <w:basedOn w:val="52"/>
    <w:qFormat/>
    <w:uiPriority w:val="0"/>
  </w:style>
  <w:style w:type="character" w:customStyle="1" w:styleId="460">
    <w:name w:val="样式标题3 Char"/>
    <w:link w:val="340"/>
    <w:qFormat/>
    <w:uiPriority w:val="0"/>
    <w:rPr>
      <w:b/>
      <w:bCs/>
      <w:kern w:val="2"/>
      <w:sz w:val="21"/>
      <w:szCs w:val="21"/>
    </w:rPr>
  </w:style>
  <w:style w:type="character" w:customStyle="1" w:styleId="461">
    <w:name w:val="正文缩进 Char1"/>
    <w:qFormat/>
    <w:uiPriority w:val="0"/>
    <w:rPr>
      <w:rFonts w:eastAsia="宋体"/>
      <w:szCs w:val="24"/>
    </w:rPr>
  </w:style>
  <w:style w:type="character" w:customStyle="1" w:styleId="462">
    <w:name w:val="标题 5(小标题) Char2"/>
    <w:qFormat/>
    <w:uiPriority w:val="0"/>
    <w:rPr>
      <w:rFonts w:eastAsia="宋体"/>
      <w:b/>
      <w:kern w:val="2"/>
      <w:sz w:val="28"/>
      <w:lang w:bidi="ar-SA"/>
    </w:rPr>
  </w:style>
  <w:style w:type="character" w:customStyle="1" w:styleId="463">
    <w:name w:val="正文首行缩进 字符"/>
    <w:link w:val="15"/>
    <w:qFormat/>
    <w:uiPriority w:val="0"/>
    <w:rPr>
      <w:rFonts w:ascii="楷体_GB2312" w:eastAsia="楷体_GB2312"/>
      <w:kern w:val="2"/>
      <w:sz w:val="21"/>
      <w:lang w:bidi="ar-SA"/>
    </w:rPr>
  </w:style>
  <w:style w:type="character" w:customStyle="1" w:styleId="464">
    <w:name w:val="HTML 预设格式 字符"/>
    <w:link w:val="49"/>
    <w:qFormat/>
    <w:uiPriority w:val="0"/>
    <w:rPr>
      <w:rFonts w:ascii="黑体" w:hAnsi="Courier New" w:eastAsia="黑体"/>
      <w:lang w:bidi="ar-SA"/>
    </w:rPr>
  </w:style>
  <w:style w:type="character" w:customStyle="1" w:styleId="465">
    <w:name w:val="style6"/>
    <w:qFormat/>
    <w:uiPriority w:val="0"/>
  </w:style>
  <w:style w:type="character" w:customStyle="1" w:styleId="466">
    <w:name w:val="正文文本 字符"/>
    <w:link w:val="16"/>
    <w:qFormat/>
    <w:uiPriority w:val="0"/>
    <w:rPr>
      <w:rFonts w:ascii="楷体_GB2312" w:eastAsia="楷体_GB2312"/>
      <w:b/>
      <w:kern w:val="2"/>
      <w:sz w:val="30"/>
      <w:lang w:bidi="ar-SA"/>
    </w:rPr>
  </w:style>
  <w:style w:type="character" w:customStyle="1" w:styleId="467">
    <w:name w:val="样式 小四正文 + (西文) 仿宋_GB2312 Char"/>
    <w:qFormat/>
    <w:uiPriority w:val="0"/>
    <w:rPr>
      <w:rFonts w:ascii="仿宋_GB2312" w:hAnsi="仿宋_GB2312" w:eastAsia="宋体"/>
      <w:kern w:val="2"/>
      <w:sz w:val="24"/>
      <w:szCs w:val="18"/>
      <w:lang w:val="en-US" w:eastAsia="zh-CN" w:bidi="ar-SA"/>
    </w:rPr>
  </w:style>
  <w:style w:type="character" w:customStyle="1" w:styleId="468">
    <w:name w:val="列出段落 Char"/>
    <w:link w:val="281"/>
    <w:qFormat/>
    <w:uiPriority w:val="0"/>
    <w:rPr>
      <w:rFonts w:ascii="Calibri" w:hAnsi="Calibri" w:eastAsia="宋体"/>
      <w:kern w:val="2"/>
      <w:sz w:val="21"/>
      <w:szCs w:val="22"/>
      <w:lang w:bidi="ar-SA"/>
    </w:rPr>
  </w:style>
  <w:style w:type="character" w:customStyle="1" w:styleId="469">
    <w:name w:val="正文文本 3 字符"/>
    <w:link w:val="21"/>
    <w:qFormat/>
    <w:uiPriority w:val="0"/>
    <w:rPr>
      <w:rFonts w:ascii="宋体" w:hAnsi="宋体"/>
      <w:kern w:val="2"/>
      <w:sz w:val="24"/>
    </w:rPr>
  </w:style>
  <w:style w:type="character" w:customStyle="1" w:styleId="470">
    <w:name w:val="font91"/>
    <w:qFormat/>
    <w:uiPriority w:val="0"/>
    <w:rPr>
      <w:rFonts w:hint="eastAsia" w:ascii="宋体" w:hAnsi="宋体" w:eastAsia="宋体" w:cs="宋体"/>
      <w:color w:val="000000"/>
      <w:sz w:val="21"/>
      <w:szCs w:val="21"/>
      <w:u w:val="none"/>
    </w:rPr>
  </w:style>
  <w:style w:type="character" w:customStyle="1" w:styleId="471">
    <w:name w:val="正文文本缩进 Char1"/>
    <w:qFormat/>
    <w:uiPriority w:val="0"/>
    <w:rPr>
      <w:rFonts w:ascii="宋体" w:hAnsi="宋体" w:eastAsia="宋体"/>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2328</Words>
  <Characters>13273</Characters>
  <Lines>110</Lines>
  <Paragraphs>31</Paragraphs>
  <TotalTime>54</TotalTime>
  <ScaleCrop>false</ScaleCrop>
  <LinksUpToDate>false</LinksUpToDate>
  <CharactersWithSpaces>15570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2021-06-17T02:39:00Z</dcterms:created>
  <dc:creator>lipeng</dc:creator>
  <cp:lastModifiedBy>姚宇</cp:lastModifiedBy>
  <cp:lastPrinted>2020-07-01T06:08:00Z</cp:lastPrinted>
  <dcterms:modified xsi:type="dcterms:W3CDTF">2021-06-18T01:11:54Z</dcterms:modified>
  <dc:title>广州市政府采购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BB874858A0204A63BF6FBD6C5E162923</vt:lpwstr>
  </property>
</Properties>
</file>